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970F" w14:textId="3B027796" w:rsidR="00990BD7" w:rsidRPr="00222D9B" w:rsidRDefault="00222D9B" w:rsidP="00C87AD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</w:rPr>
      </w:pPr>
      <w:r w:rsidRPr="00222D9B">
        <w:rPr>
          <w:rFonts w:cstheme="minorHAnsi"/>
          <w:b/>
          <w:bCs/>
          <w:color w:val="000000" w:themeColor="text1"/>
        </w:rPr>
        <w:t>A Defense of “Closed” Communion</w:t>
      </w:r>
      <w:r w:rsidR="00C87AD5">
        <w:rPr>
          <w:rStyle w:val="FootnoteReference"/>
          <w:rFonts w:cstheme="minorHAnsi"/>
          <w:b/>
          <w:bCs/>
          <w:color w:val="000000" w:themeColor="text1"/>
        </w:rPr>
        <w:footnoteReference w:id="1"/>
      </w:r>
    </w:p>
    <w:p w14:paraId="042B600A" w14:textId="77777777" w:rsidR="00222D9B" w:rsidRPr="00222D9B" w:rsidRDefault="00222D9B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1164A90" w14:textId="691C77C3" w:rsidR="00222D9B" w:rsidRPr="00222D9B" w:rsidRDefault="00222D9B" w:rsidP="00222D9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</w:rPr>
      </w:pPr>
      <w:r w:rsidRPr="00222D9B">
        <w:rPr>
          <w:rFonts w:cstheme="minorHAnsi"/>
          <w:b/>
          <w:bCs/>
          <w:color w:val="000000" w:themeColor="text1"/>
        </w:rPr>
        <w:t>“Monogamous Communion”</w:t>
      </w:r>
    </w:p>
    <w:p w14:paraId="5F3754DF" w14:textId="505C59D3" w:rsidR="00222D9B" w:rsidRPr="00222D9B" w:rsidRDefault="00222D9B" w:rsidP="00222D9B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 xml:space="preserve">by Fr. Michael </w:t>
      </w:r>
      <w:proofErr w:type="spellStart"/>
      <w:r w:rsidRPr="00222D9B">
        <w:rPr>
          <w:rFonts w:cstheme="minorHAnsi"/>
          <w:color w:val="000000" w:themeColor="text1"/>
        </w:rPr>
        <w:t>Shanbour</w:t>
      </w:r>
      <w:proofErr w:type="spellEnd"/>
      <w:r w:rsidR="00C87AD5">
        <w:rPr>
          <w:rStyle w:val="FootnoteReference"/>
          <w:rFonts w:cstheme="minorHAnsi"/>
          <w:color w:val="000000" w:themeColor="text1"/>
        </w:rPr>
        <w:footnoteReference w:id="2"/>
      </w:r>
    </w:p>
    <w:p w14:paraId="786357B3" w14:textId="77777777" w:rsidR="00222D9B" w:rsidRPr="00222D9B" w:rsidRDefault="00222D9B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8BFD1B1" w14:textId="0F101E34" w:rsidR="00222D9B" w:rsidRPr="00222D9B" w:rsidRDefault="00222D9B" w:rsidP="00222D9B">
      <w:pPr>
        <w:autoSpaceDE w:val="0"/>
        <w:autoSpaceDN w:val="0"/>
        <w:adjustRightInd w:val="0"/>
        <w:jc w:val="center"/>
        <w:rPr>
          <w:rFonts w:cstheme="minorHAnsi"/>
          <w:i/>
          <w:iCs/>
          <w:color w:val="000000" w:themeColor="text1"/>
        </w:rPr>
      </w:pPr>
      <w:r w:rsidRPr="00222D9B">
        <w:rPr>
          <w:rFonts w:cstheme="minorHAnsi"/>
          <w:color w:val="000000" w:themeColor="text1"/>
        </w:rPr>
        <w:t>“</w:t>
      </w:r>
      <w:r w:rsidRPr="00222D9B">
        <w:rPr>
          <w:rFonts w:cstheme="minorHAnsi"/>
          <w:i/>
          <w:iCs/>
          <w:color w:val="000000" w:themeColor="text1"/>
        </w:rPr>
        <w:t>Imagine there’s no countries</w:t>
      </w:r>
    </w:p>
    <w:p w14:paraId="21DC559C" w14:textId="77777777" w:rsidR="00222D9B" w:rsidRPr="00222D9B" w:rsidRDefault="00222D9B" w:rsidP="00222D9B">
      <w:pPr>
        <w:autoSpaceDE w:val="0"/>
        <w:autoSpaceDN w:val="0"/>
        <w:adjustRightInd w:val="0"/>
        <w:jc w:val="center"/>
        <w:rPr>
          <w:rFonts w:cstheme="minorHAnsi"/>
          <w:i/>
          <w:iCs/>
          <w:color w:val="000000" w:themeColor="text1"/>
        </w:rPr>
      </w:pPr>
      <w:r w:rsidRPr="00222D9B">
        <w:rPr>
          <w:rFonts w:cstheme="minorHAnsi"/>
          <w:i/>
          <w:iCs/>
          <w:color w:val="000000" w:themeColor="text1"/>
        </w:rPr>
        <w:t>It isn't hard to do</w:t>
      </w:r>
    </w:p>
    <w:p w14:paraId="1CCD0123" w14:textId="77777777" w:rsidR="00222D9B" w:rsidRPr="00222D9B" w:rsidRDefault="00222D9B" w:rsidP="00222D9B">
      <w:pPr>
        <w:autoSpaceDE w:val="0"/>
        <w:autoSpaceDN w:val="0"/>
        <w:adjustRightInd w:val="0"/>
        <w:jc w:val="center"/>
        <w:rPr>
          <w:rFonts w:cstheme="minorHAnsi"/>
          <w:i/>
          <w:iCs/>
          <w:color w:val="000000" w:themeColor="text1"/>
        </w:rPr>
      </w:pPr>
      <w:r w:rsidRPr="00222D9B">
        <w:rPr>
          <w:rFonts w:cstheme="minorHAnsi"/>
          <w:i/>
          <w:iCs/>
          <w:color w:val="000000" w:themeColor="text1"/>
        </w:rPr>
        <w:t>Nothing to kill or die for</w:t>
      </w:r>
    </w:p>
    <w:p w14:paraId="7FB16FC8" w14:textId="77777777" w:rsidR="00222D9B" w:rsidRPr="00222D9B" w:rsidRDefault="00222D9B" w:rsidP="00222D9B">
      <w:pPr>
        <w:autoSpaceDE w:val="0"/>
        <w:autoSpaceDN w:val="0"/>
        <w:adjustRightInd w:val="0"/>
        <w:jc w:val="center"/>
        <w:rPr>
          <w:rFonts w:cstheme="minorHAnsi"/>
          <w:color w:val="000000" w:themeColor="text1"/>
        </w:rPr>
      </w:pPr>
      <w:r w:rsidRPr="00222D9B">
        <w:rPr>
          <w:rFonts w:cstheme="minorHAnsi"/>
          <w:i/>
          <w:iCs/>
          <w:color w:val="000000" w:themeColor="text1"/>
        </w:rPr>
        <w:t>And no religion too</w:t>
      </w:r>
      <w:r w:rsidRPr="00222D9B">
        <w:rPr>
          <w:rFonts w:cstheme="minorHAnsi"/>
          <w:color w:val="000000" w:themeColor="text1"/>
        </w:rPr>
        <w:t>”</w:t>
      </w:r>
    </w:p>
    <w:p w14:paraId="551A4437" w14:textId="289DD93C" w:rsidR="00222D9B" w:rsidRPr="00222D9B" w:rsidRDefault="00222D9B" w:rsidP="00222D9B">
      <w:pPr>
        <w:autoSpaceDE w:val="0"/>
        <w:autoSpaceDN w:val="0"/>
        <w:adjustRightInd w:val="0"/>
        <w:ind w:left="5040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—</w:t>
      </w:r>
      <w:r w:rsidRPr="00222D9B">
        <w:rPr>
          <w:rFonts w:cstheme="minorHAnsi"/>
          <w:color w:val="000000" w:themeColor="text1"/>
        </w:rPr>
        <w:t>John Lennon</w:t>
      </w:r>
    </w:p>
    <w:p w14:paraId="7FB34DF8" w14:textId="77777777" w:rsidR="00222D9B" w:rsidRPr="00222D9B" w:rsidRDefault="00222D9B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F270C1A" w14:textId="69B70E4A" w:rsidR="00222D9B" w:rsidRPr="00222D9B" w:rsidRDefault="00222D9B" w:rsidP="00222D9B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John Lennon’s lyrics strike a chord in us. We all remember a time when we yearned for a unity with others where the</w:t>
      </w:r>
      <w:r w:rsidRPr="00222D9B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slightest separation is melted away in the face of pure love and abiding peace. </w:t>
      </w:r>
      <w:proofErr w:type="gramStart"/>
      <w:r w:rsidRPr="00222D9B">
        <w:rPr>
          <w:rFonts w:cstheme="minorHAnsi"/>
          <w:color w:val="000000" w:themeColor="text1"/>
        </w:rPr>
        <w:t>Indeed</w:t>
      </w:r>
      <w:proofErr w:type="gramEnd"/>
      <w:r w:rsidRPr="00222D9B">
        <w:rPr>
          <w:rFonts w:cstheme="minorHAnsi"/>
          <w:color w:val="000000" w:themeColor="text1"/>
        </w:rPr>
        <w:t xml:space="preserve"> the longing for true communion is</w:t>
      </w:r>
      <w:r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the fundamental God-implanted hunger in every human soul.</w:t>
      </w:r>
    </w:p>
    <w:p w14:paraId="6DDCD005" w14:textId="77777777" w:rsidR="00222D9B" w:rsidRDefault="00222D9B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87F1B24" w14:textId="17243007" w:rsidR="00222D9B" w:rsidRPr="00990BD7" w:rsidRDefault="00222D9B" w:rsidP="00222D9B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proofErr w:type="gramStart"/>
      <w:r w:rsidRPr="00222D9B">
        <w:rPr>
          <w:rFonts w:cstheme="minorHAnsi"/>
          <w:color w:val="000000" w:themeColor="text1"/>
        </w:rPr>
        <w:t>However</w:t>
      </w:r>
      <w:proofErr w:type="gramEnd"/>
      <w:r w:rsidRPr="00222D9B">
        <w:rPr>
          <w:rFonts w:cstheme="minorHAnsi"/>
          <w:color w:val="000000" w:themeColor="text1"/>
        </w:rPr>
        <w:t xml:space="preserve"> over the centuries many have misused or misapplied this natural yearning for communion by artificially</w:t>
      </w:r>
      <w:r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discounting the true borders of personhood. Examples include political ideologies such as Communism and like-minded</w:t>
      </w:r>
      <w:r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social experiments such as hippie commune-ism. Platonism and other philosophical forms of dualism sought the</w:t>
      </w:r>
      <w:r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release of the “invisible and indefinable” spirit from the confines of “evil” material existence. Examples of religious and</w:t>
      </w:r>
      <w:r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deistic forms of a boundary-less union are the pantheism of Hinduism and the Christian heresy of </w:t>
      </w:r>
      <w:r w:rsidRPr="00990BD7">
        <w:rPr>
          <w:rFonts w:cstheme="minorHAnsi"/>
          <w:color w:val="000000" w:themeColor="text1"/>
        </w:rPr>
        <w:t>Docetism, which</w:t>
      </w:r>
      <w:r w:rsidRPr="00990BD7">
        <w:rPr>
          <w:rFonts w:cstheme="minorHAnsi"/>
          <w:color w:val="000000" w:themeColor="text1"/>
        </w:rPr>
        <w:t xml:space="preserve"> </w:t>
      </w:r>
      <w:r w:rsidRPr="00990BD7">
        <w:rPr>
          <w:rFonts w:cstheme="minorHAnsi"/>
          <w:color w:val="000000" w:themeColor="text1"/>
        </w:rPr>
        <w:t>claimed that Jesus only appeared to be circumscribed by a physical body.</w:t>
      </w:r>
    </w:p>
    <w:p w14:paraId="6CC457E1" w14:textId="77777777" w:rsidR="00222D9B" w:rsidRPr="00990BD7" w:rsidRDefault="00222D9B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0386DE4" w14:textId="4DDEE62D" w:rsidR="00222D9B" w:rsidRPr="00990BD7" w:rsidRDefault="00222D9B" w:rsidP="00222D9B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990BD7">
        <w:rPr>
          <w:rFonts w:cstheme="minorHAnsi"/>
          <w:color w:val="000000" w:themeColor="text1"/>
        </w:rPr>
        <w:t>All of these have one thing in common – they seek to create a perceived communion by breaking down extant</w:t>
      </w:r>
      <w:r w:rsidRPr="00990BD7">
        <w:rPr>
          <w:rFonts w:cstheme="minorHAnsi"/>
          <w:color w:val="000000" w:themeColor="text1"/>
        </w:rPr>
        <w:t xml:space="preserve"> </w:t>
      </w:r>
      <w:r w:rsidRPr="00990BD7">
        <w:rPr>
          <w:rFonts w:cstheme="minorHAnsi"/>
          <w:color w:val="000000" w:themeColor="text1"/>
        </w:rPr>
        <w:t xml:space="preserve">distinctions and definitions. As the former Beatle seems to advocate, division and disunity are </w:t>
      </w:r>
      <w:proofErr w:type="gramStart"/>
      <w:r w:rsidRPr="00990BD7">
        <w:rPr>
          <w:rFonts w:cstheme="minorHAnsi"/>
          <w:color w:val="000000" w:themeColor="text1"/>
        </w:rPr>
        <w:t>actually caused</w:t>
      </w:r>
      <w:proofErr w:type="gramEnd"/>
      <w:r w:rsidRPr="00990BD7">
        <w:rPr>
          <w:rFonts w:cstheme="minorHAnsi"/>
          <w:color w:val="000000" w:themeColor="text1"/>
        </w:rPr>
        <w:t xml:space="preserve"> by</w:t>
      </w:r>
      <w:r w:rsidRPr="00990BD7">
        <w:rPr>
          <w:rFonts w:cstheme="minorHAnsi"/>
          <w:color w:val="000000" w:themeColor="text1"/>
        </w:rPr>
        <w:t xml:space="preserve"> </w:t>
      </w:r>
      <w:r w:rsidRPr="00990BD7">
        <w:rPr>
          <w:rFonts w:cstheme="minorHAnsi"/>
          <w:color w:val="000000" w:themeColor="text1"/>
        </w:rPr>
        <w:t>boundaries and beliefs. Yet a “communion” without borders is short-lived and futile because it is not consonant with</w:t>
      </w:r>
      <w:r w:rsidRPr="00990BD7">
        <w:rPr>
          <w:rFonts w:cstheme="minorHAnsi"/>
          <w:color w:val="000000" w:themeColor="text1"/>
        </w:rPr>
        <w:t xml:space="preserve"> </w:t>
      </w:r>
      <w:r w:rsidRPr="00990BD7">
        <w:rPr>
          <w:rFonts w:cstheme="minorHAnsi"/>
          <w:color w:val="000000" w:themeColor="text1"/>
        </w:rPr>
        <w:t>reality itself. For instance, a country is not</w:t>
      </w:r>
      <w:r w:rsidRPr="00990BD7">
        <w:rPr>
          <w:rFonts w:cstheme="minorHAnsi"/>
          <w:color w:val="000000" w:themeColor="text1"/>
        </w:rPr>
        <w:t xml:space="preserve"> </w:t>
      </w:r>
      <w:r w:rsidRPr="00990BD7">
        <w:rPr>
          <w:rFonts w:cstheme="minorHAnsi"/>
          <w:color w:val="000000" w:themeColor="text1"/>
        </w:rPr>
        <w:t>threatened by the existence of its borders; its borders are what make possible</w:t>
      </w:r>
      <w:r w:rsidRPr="00990BD7">
        <w:rPr>
          <w:rFonts w:cstheme="minorHAnsi"/>
          <w:color w:val="000000" w:themeColor="text1"/>
        </w:rPr>
        <w:t xml:space="preserve"> </w:t>
      </w:r>
      <w:r w:rsidRPr="00990BD7">
        <w:rPr>
          <w:rFonts w:cstheme="minorHAnsi"/>
          <w:color w:val="000000" w:themeColor="text1"/>
        </w:rPr>
        <w:t>a real identity and a unifying culture. Imagine a country without borders and I will show you an imaginary country.</w:t>
      </w:r>
    </w:p>
    <w:p w14:paraId="299D8894" w14:textId="77777777" w:rsidR="00222D9B" w:rsidRPr="00990BD7" w:rsidRDefault="00222D9B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1CE6F08" w14:textId="07E57763" w:rsidR="00222D9B" w:rsidRPr="00990BD7" w:rsidRDefault="00222D9B" w:rsidP="00222D9B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990BD7">
        <w:rPr>
          <w:rFonts w:cstheme="minorHAnsi"/>
          <w:color w:val="000000" w:themeColor="text1"/>
        </w:rPr>
        <w:t>Certainly, there are always dangers of unhealthy ethnocentrism, blind patriotism, or insular closed-mindedness. But a</w:t>
      </w:r>
      <w:r w:rsidRPr="00990BD7">
        <w:rPr>
          <w:rFonts w:cstheme="minorHAnsi"/>
          <w:color w:val="000000" w:themeColor="text1"/>
        </w:rPr>
        <w:t xml:space="preserve"> </w:t>
      </w:r>
      <w:r w:rsidRPr="00990BD7">
        <w:rPr>
          <w:rFonts w:cstheme="minorHAnsi"/>
          <w:color w:val="000000" w:themeColor="text1"/>
        </w:rPr>
        <w:t>country without borders, without a distinctive history, without</w:t>
      </w:r>
      <w:r w:rsidRPr="00990BD7">
        <w:rPr>
          <w:rFonts w:cstheme="minorHAnsi"/>
          <w:color w:val="000000" w:themeColor="text1"/>
        </w:rPr>
        <w:t xml:space="preserve"> </w:t>
      </w:r>
      <w:r w:rsidRPr="00990BD7">
        <w:rPr>
          <w:rFonts w:cstheme="minorHAnsi"/>
          <w:color w:val="000000" w:themeColor="text1"/>
        </w:rPr>
        <w:t>unifying cultural principles and symbols, without flag or</w:t>
      </w:r>
      <w:r w:rsidRPr="00990BD7">
        <w:rPr>
          <w:rFonts w:cstheme="minorHAnsi"/>
          <w:color w:val="000000" w:themeColor="text1"/>
        </w:rPr>
        <w:t xml:space="preserve"> </w:t>
      </w:r>
      <w:r w:rsidRPr="00990BD7">
        <w:rPr>
          <w:rFonts w:cstheme="minorHAnsi"/>
          <w:color w:val="000000" w:themeColor="text1"/>
        </w:rPr>
        <w:t>anthem, is no country at all. If, because there are no borders, everyone is automatically a member, then no one is truly a</w:t>
      </w:r>
      <w:r w:rsidRPr="00990BD7">
        <w:rPr>
          <w:rFonts w:cstheme="minorHAnsi"/>
          <w:color w:val="000000" w:themeColor="text1"/>
        </w:rPr>
        <w:t xml:space="preserve"> </w:t>
      </w:r>
      <w:r w:rsidRPr="00990BD7">
        <w:rPr>
          <w:rFonts w:cstheme="minorHAnsi"/>
          <w:color w:val="000000" w:themeColor="text1"/>
        </w:rPr>
        <w:t>member, for membership in such a non-entity is entirely meaningless.</w:t>
      </w:r>
    </w:p>
    <w:p w14:paraId="19789C15" w14:textId="77777777" w:rsidR="00222D9B" w:rsidRPr="00990BD7" w:rsidRDefault="00222D9B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19624C7" w14:textId="559E8AE3" w:rsidR="00222D9B" w:rsidRPr="00222D9B" w:rsidRDefault="00222D9B" w:rsidP="00222D9B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990BD7">
        <w:rPr>
          <w:rFonts w:cstheme="minorHAnsi"/>
          <w:color w:val="000000" w:themeColor="text1"/>
        </w:rPr>
        <w:lastRenderedPageBreak/>
        <w:t>A house without foundation and walls is not a house but merely a continuum of space indistinguishable from other</w:t>
      </w:r>
      <w:r w:rsidRPr="00990BD7">
        <w:rPr>
          <w:rFonts w:cstheme="minorHAnsi"/>
          <w:color w:val="000000" w:themeColor="text1"/>
        </w:rPr>
        <w:t xml:space="preserve"> </w:t>
      </w:r>
      <w:r w:rsidRPr="00990BD7">
        <w:rPr>
          <w:rFonts w:cstheme="minorHAnsi"/>
          <w:color w:val="000000" w:themeColor="text1"/>
        </w:rPr>
        <w:t xml:space="preserve">space. The same applies to personal relationships. I </w:t>
      </w:r>
      <w:proofErr w:type="gramStart"/>
      <w:r w:rsidRPr="00990BD7">
        <w:rPr>
          <w:rFonts w:cstheme="minorHAnsi"/>
          <w:color w:val="000000" w:themeColor="text1"/>
        </w:rPr>
        <w:t>am capable of having</w:t>
      </w:r>
      <w:proofErr w:type="gramEnd"/>
      <w:r w:rsidRPr="00990BD7">
        <w:rPr>
          <w:rFonts w:cstheme="minorHAnsi"/>
          <w:color w:val="000000" w:themeColor="text1"/>
        </w:rPr>
        <w:t xml:space="preserve"> union with my wife because I know where</w:t>
      </w:r>
      <w:r w:rsidRPr="00990BD7">
        <w:rPr>
          <w:rFonts w:cstheme="minorHAnsi"/>
          <w:color w:val="000000" w:themeColor="text1"/>
        </w:rPr>
        <w:t xml:space="preserve"> </w:t>
      </w:r>
      <w:r w:rsidRPr="00990BD7">
        <w:rPr>
          <w:rFonts w:cstheme="minorHAnsi"/>
          <w:color w:val="000000" w:themeColor="text1"/>
        </w:rPr>
        <w:t xml:space="preserve">she begins </w:t>
      </w:r>
      <w:r w:rsidRPr="00222D9B">
        <w:rPr>
          <w:rFonts w:cstheme="minorHAnsi"/>
          <w:color w:val="000000" w:themeColor="text1"/>
        </w:rPr>
        <w:t>and where she ends, both in body and soul. I am also capable of infidelity because the borders of the marital</w:t>
      </w:r>
      <w:r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relationship are clear. A trespassing of these organic and necessary borders will at the very least greatly harm this</w:t>
      </w:r>
      <w:r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communion.</w:t>
      </w:r>
    </w:p>
    <w:p w14:paraId="39D00401" w14:textId="77777777" w:rsidR="00222D9B" w:rsidRDefault="00222D9B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6F1B4C1" w14:textId="51057F1C" w:rsidR="00222D9B" w:rsidRPr="00222D9B" w:rsidRDefault="00222D9B" w:rsidP="0009640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All of this also applies to the incarnate Christ and His Church, i.e. His incarnate Body. For the real, incarnate Christ</w:t>
      </w:r>
      <w:r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comes to us, not as a warm and fuzzy “idea” bereft of borders, but circumscribed by a very real historical human Body,</w:t>
      </w:r>
      <w:r w:rsidR="0009640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locatable, tangible, and verifiable in time and space, crucified “under Pontius Pilate.”</w:t>
      </w:r>
    </w:p>
    <w:p w14:paraId="51BB4D8D" w14:textId="77777777" w:rsidR="00222D9B" w:rsidRDefault="00222D9B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F38D8B1" w14:textId="0493DE64" w:rsidR="00222D9B" w:rsidRPr="00222D9B" w:rsidRDefault="00222D9B" w:rsidP="00762BC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This same incarnate Christ founded a Church which is identified exactly with His circumscribed Body: the flesh He</w:t>
      </w:r>
      <w:r w:rsidR="0009640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received exclusively from the Virgin Mary by the Holy Spirit, the flesh with which He walked the streets of the Middle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East, the flesh buried and risen, the same flesh with which He ascended to God the Father and which He still bears and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will bear eternally.</w:t>
      </w:r>
    </w:p>
    <w:p w14:paraId="4871D2CA" w14:textId="77777777" w:rsidR="00762BC9" w:rsidRDefault="00762BC9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8AEF961" w14:textId="3CEB7357" w:rsidR="00222D9B" w:rsidRPr="00222D9B" w:rsidRDefault="00222D9B" w:rsidP="00762BC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It is this Christ whose prayer to His Father expresses the divine desire “that they may be one” – not partially, nor merely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in the “basics,” nor as an abstraction, nor in imagination – but “just as We are one” (Jn. 17:22).</w:t>
      </w:r>
    </w:p>
    <w:p w14:paraId="79E2DEC3" w14:textId="77777777" w:rsidR="00762BC9" w:rsidRDefault="00762BC9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956E773" w14:textId="15DE9AED" w:rsidR="00222D9B" w:rsidRPr="00222D9B" w:rsidRDefault="00222D9B" w:rsidP="00762BC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It is within this context (and Orthodox Christians believe only within this context) that we can begin a discussion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regarding so-called closed communion. The case for closed communion is based not on a negative premise to promote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exclusivity but on a positive one that propels and preserves, among other things, the catholicity of the Church (the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Greek word </w:t>
      </w:r>
      <w:proofErr w:type="spellStart"/>
      <w:r w:rsidRPr="00222D9B">
        <w:rPr>
          <w:rFonts w:cstheme="minorHAnsi"/>
          <w:color w:val="000000" w:themeColor="text1"/>
        </w:rPr>
        <w:t>katholikos</w:t>
      </w:r>
      <w:proofErr w:type="spellEnd"/>
      <w:r w:rsidRPr="00222D9B">
        <w:rPr>
          <w:rFonts w:cstheme="minorHAnsi"/>
          <w:color w:val="000000" w:themeColor="text1"/>
        </w:rPr>
        <w:t xml:space="preserve"> primarily means fullness, not merely geographical universality). It was practiced uniformly and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without controversy from the apostolic period until very recent times and mirrors God’s previous work among His people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in the Old Testament. It is founded upon the received tradition that has always formed and informed the Christian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understanding of “Church.”</w:t>
      </w:r>
    </w:p>
    <w:p w14:paraId="78797919" w14:textId="77777777" w:rsidR="00762BC9" w:rsidRDefault="00762BC9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EBC9707" w14:textId="242C2A3E" w:rsidR="00222D9B" w:rsidRPr="00222D9B" w:rsidRDefault="00222D9B" w:rsidP="00762BC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Let me say from the beginning that I acknowledge the sensitive nature of this topic and the strong feelings it can evoke.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In no way have I set out to cause offense or to rub salt in any open wounds. Discussions of such central issues as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Eucharistic communion should never be decided by emotions, but with a robust and courageous desire for truth and a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willingness to bow before what St. Vincent of </w:t>
      </w:r>
      <w:proofErr w:type="spellStart"/>
      <w:r w:rsidRPr="00222D9B">
        <w:rPr>
          <w:rFonts w:cstheme="minorHAnsi"/>
          <w:color w:val="000000" w:themeColor="text1"/>
        </w:rPr>
        <w:t>Lerins</w:t>
      </w:r>
      <w:proofErr w:type="spellEnd"/>
      <w:r w:rsidRPr="00222D9B">
        <w:rPr>
          <w:rFonts w:cstheme="minorHAnsi"/>
          <w:color w:val="000000" w:themeColor="text1"/>
        </w:rPr>
        <w:t xml:space="preserve"> called, “what has been believed everywhere, at all times, and by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all.”</w:t>
      </w:r>
    </w:p>
    <w:p w14:paraId="10885EAE" w14:textId="77777777" w:rsidR="00762BC9" w:rsidRDefault="00762BC9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3FACC05" w14:textId="2FB49936" w:rsidR="00222D9B" w:rsidRDefault="00222D9B" w:rsidP="00222D9B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762BC9">
        <w:rPr>
          <w:rFonts w:cstheme="minorHAnsi"/>
          <w:b/>
          <w:bCs/>
          <w:color w:val="000000" w:themeColor="text1"/>
        </w:rPr>
        <w:t>Defining the Terms</w:t>
      </w:r>
    </w:p>
    <w:p w14:paraId="3E6686D5" w14:textId="77777777" w:rsidR="00762BC9" w:rsidRPr="00762BC9" w:rsidRDefault="00762BC9" w:rsidP="00222D9B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1F887933" w14:textId="0672EB7E" w:rsidR="00222D9B" w:rsidRPr="00222D9B" w:rsidRDefault="00222D9B" w:rsidP="00762BC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Before moving on to more substantial matters, perhaps a word should be said regarding terminology, for words are no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small matter. The early Christian declaration, lex </w:t>
      </w:r>
      <w:proofErr w:type="spellStart"/>
      <w:r w:rsidRPr="00222D9B">
        <w:rPr>
          <w:rFonts w:cstheme="minorHAnsi"/>
          <w:color w:val="000000" w:themeColor="text1"/>
        </w:rPr>
        <w:t>orandi</w:t>
      </w:r>
      <w:proofErr w:type="spellEnd"/>
      <w:r w:rsidRPr="00222D9B">
        <w:rPr>
          <w:rFonts w:cstheme="minorHAnsi"/>
          <w:color w:val="000000" w:themeColor="text1"/>
        </w:rPr>
        <w:t xml:space="preserve"> lex </w:t>
      </w:r>
      <w:proofErr w:type="spellStart"/>
      <w:r w:rsidRPr="00222D9B">
        <w:rPr>
          <w:rFonts w:cstheme="minorHAnsi"/>
          <w:color w:val="000000" w:themeColor="text1"/>
        </w:rPr>
        <w:t>credendi</w:t>
      </w:r>
      <w:proofErr w:type="spellEnd"/>
      <w:r w:rsidRPr="00222D9B">
        <w:rPr>
          <w:rFonts w:cstheme="minorHAnsi"/>
          <w:color w:val="000000" w:themeColor="text1"/>
        </w:rPr>
        <w:t xml:space="preserve"> (the rule of prayer is the rule of belief), reminds us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how our use of words </w:t>
      </w:r>
      <w:proofErr w:type="gramStart"/>
      <w:r w:rsidRPr="00222D9B">
        <w:rPr>
          <w:rFonts w:cstheme="minorHAnsi"/>
          <w:color w:val="000000" w:themeColor="text1"/>
        </w:rPr>
        <w:t>influence</w:t>
      </w:r>
      <w:proofErr w:type="gramEnd"/>
      <w:r w:rsidRPr="00222D9B">
        <w:rPr>
          <w:rFonts w:cstheme="minorHAnsi"/>
          <w:color w:val="000000" w:themeColor="text1"/>
        </w:rPr>
        <w:t xml:space="preserve"> our beliefs and </w:t>
      </w:r>
      <w:proofErr w:type="spellStart"/>
      <w:r w:rsidRPr="00222D9B">
        <w:rPr>
          <w:rFonts w:cstheme="minorHAnsi"/>
          <w:color w:val="000000" w:themeColor="text1"/>
        </w:rPr>
        <w:t>vise</w:t>
      </w:r>
      <w:proofErr w:type="spellEnd"/>
      <w:r w:rsidRPr="00222D9B">
        <w:rPr>
          <w:rFonts w:cstheme="minorHAnsi"/>
          <w:color w:val="000000" w:themeColor="text1"/>
        </w:rPr>
        <w:t xml:space="preserve"> versa.</w:t>
      </w:r>
    </w:p>
    <w:p w14:paraId="05ED7888" w14:textId="77777777" w:rsidR="00762BC9" w:rsidRDefault="00762BC9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A4263A8" w14:textId="7F76A81C" w:rsidR="00222D9B" w:rsidRPr="00222D9B" w:rsidRDefault="00222D9B" w:rsidP="00762BC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lastRenderedPageBreak/>
        <w:t>The difference between truth and heresy can literally turn on a word, or part of a word, as was the case in the Arian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controversy and the word </w:t>
      </w:r>
      <w:proofErr w:type="spellStart"/>
      <w:r w:rsidRPr="00222D9B">
        <w:rPr>
          <w:rFonts w:cstheme="minorHAnsi"/>
          <w:color w:val="000000" w:themeColor="text1"/>
        </w:rPr>
        <w:t>homoousios</w:t>
      </w:r>
      <w:proofErr w:type="spellEnd"/>
      <w:r w:rsidRPr="00222D9B">
        <w:rPr>
          <w:rFonts w:cstheme="minorHAnsi"/>
          <w:color w:val="000000" w:themeColor="text1"/>
        </w:rPr>
        <w:t xml:space="preserve"> (“of the same essence”). As our only means to convey reality, words (most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especially theological words) are worth fighting for. As G. K. Chesterton so aptly put it:</w:t>
      </w:r>
    </w:p>
    <w:p w14:paraId="62F66C16" w14:textId="77777777" w:rsidR="00762BC9" w:rsidRDefault="00762BC9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F3AE093" w14:textId="5DBB7D24" w:rsidR="00222D9B" w:rsidRPr="00222D9B" w:rsidRDefault="00222D9B" w:rsidP="00762BC9">
      <w:pPr>
        <w:autoSpaceDE w:val="0"/>
        <w:autoSpaceDN w:val="0"/>
        <w:adjustRightInd w:val="0"/>
        <w:ind w:left="72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“What is the good of words if they aren't important enough to quarrel over? Why do we choose one word more than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another if there isn't any difference between them? If you called a woman a chimpanzee instead of an angel, wouldn't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there be a quarrel about a word? If you're not going to argue about words, what are you going to argue about? Are you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going to convey your meaning to me by moving your ears? The Church and the heresies always used to fight about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words, because they are the only thing worth fighting about.”</w:t>
      </w:r>
    </w:p>
    <w:p w14:paraId="0E9904B3" w14:textId="77777777" w:rsidR="00762BC9" w:rsidRDefault="00762BC9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820812A" w14:textId="170C53BB" w:rsidR="00222D9B" w:rsidRPr="00222D9B" w:rsidRDefault="00222D9B" w:rsidP="00762BC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Now I don’t know who first coined the phrase “closed communion,” but I am certain it was not one of the Church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Fathers. It is likely quite modern. This </w:t>
      </w:r>
      <w:proofErr w:type="gramStart"/>
      <w:r w:rsidRPr="00222D9B">
        <w:rPr>
          <w:rFonts w:cstheme="minorHAnsi"/>
          <w:color w:val="000000" w:themeColor="text1"/>
        </w:rPr>
        <w:t>in itself might</w:t>
      </w:r>
      <w:proofErr w:type="gramEnd"/>
      <w:r w:rsidRPr="00222D9B">
        <w:rPr>
          <w:rFonts w:cstheme="minorHAnsi"/>
          <w:color w:val="000000" w:themeColor="text1"/>
        </w:rPr>
        <w:t xml:space="preserve"> be enough to give me pause in using it. But it seems also to contain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an inherent bias and implicit agenda much like other recent secular creations invented to put a positive spin on an old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sin, </w:t>
      </w:r>
      <w:proofErr w:type="gramStart"/>
      <w:r w:rsidRPr="00222D9B">
        <w:rPr>
          <w:rFonts w:cstheme="minorHAnsi"/>
          <w:color w:val="000000" w:themeColor="text1"/>
        </w:rPr>
        <w:t>e.g.</w:t>
      </w:r>
      <w:proofErr w:type="gramEnd"/>
      <w:r w:rsidRPr="00222D9B">
        <w:rPr>
          <w:rFonts w:cstheme="minorHAnsi"/>
          <w:color w:val="000000" w:themeColor="text1"/>
        </w:rPr>
        <w:t xml:space="preserve"> “pro-choice,” “marriage equality” (who in their right mind could be against choice or equality?!).</w:t>
      </w:r>
    </w:p>
    <w:p w14:paraId="6EBEBA4E" w14:textId="77777777" w:rsidR="00762BC9" w:rsidRDefault="00762BC9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95AEE70" w14:textId="7A5291AF" w:rsidR="00222D9B" w:rsidRPr="00222D9B" w:rsidRDefault="00222D9B" w:rsidP="00762BC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Especially in America today, the word “closed” carries negative connotations. One of the worst accusations possible is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that of “closed -mindedness.” A politically correct culture will not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tolerate anyone or anything that is closed, for to be so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is de facto “bigoted” and “intolerant”.</w:t>
      </w:r>
    </w:p>
    <w:p w14:paraId="2412537D" w14:textId="77777777" w:rsidR="00762BC9" w:rsidRDefault="00762BC9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2976769" w14:textId="1F77D01F" w:rsidR="00222D9B" w:rsidRPr="00222D9B" w:rsidRDefault="00222D9B" w:rsidP="00762BC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proofErr w:type="gramStart"/>
      <w:r w:rsidRPr="00222D9B">
        <w:rPr>
          <w:rFonts w:cstheme="minorHAnsi"/>
          <w:color w:val="000000" w:themeColor="text1"/>
        </w:rPr>
        <w:t>Therefore</w:t>
      </w:r>
      <w:proofErr w:type="gramEnd"/>
      <w:r w:rsidRPr="00222D9B">
        <w:rPr>
          <w:rFonts w:cstheme="minorHAnsi"/>
          <w:color w:val="000000" w:themeColor="text1"/>
        </w:rPr>
        <w:t xml:space="preserve"> closed communion – referring to the long-standing tradition of communing only those who are members of a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unified body – is becoming an ecclesial “sin.” Ironically, most of us would admit that a healthy society is built upon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“closed” marriage.</w:t>
      </w:r>
    </w:p>
    <w:p w14:paraId="0DF4DE88" w14:textId="77777777" w:rsidR="00762BC9" w:rsidRDefault="00762BC9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F2CADFB" w14:textId="21C95760" w:rsidR="00222D9B" w:rsidRPr="00222D9B" w:rsidRDefault="00222D9B" w:rsidP="00762BC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The point here is that the expression “closed communion” is not an adequate or faithful description of the ecclesiology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that undergirds the traditional practice of communion. For </w:t>
      </w:r>
      <w:proofErr w:type="gramStart"/>
      <w:r w:rsidRPr="00222D9B">
        <w:rPr>
          <w:rFonts w:cstheme="minorHAnsi"/>
          <w:color w:val="000000" w:themeColor="text1"/>
        </w:rPr>
        <w:t>in reality there</w:t>
      </w:r>
      <w:proofErr w:type="gramEnd"/>
      <w:r w:rsidRPr="00222D9B">
        <w:rPr>
          <w:rFonts w:cstheme="minorHAnsi"/>
          <w:color w:val="000000" w:themeColor="text1"/>
        </w:rPr>
        <w:t xml:space="preserve"> is no such thing as “open” or “closed”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communion – there is either communion or there is not. In other words, either there exists a communion of faith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expressed in a common understanding of doctrine and worship, sacramental and spiritual practice, or such communion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does not exist.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The criteria for a communion of faith here is no different from the boundaries that existed in the first Christian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congregation: “And they continued steadfastly in the apostles’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doctrine and fellowship (literally: communion), in the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breaking of the bread, and in the prayers.”</w:t>
      </w:r>
      <w:r w:rsidR="00F11ACD">
        <w:rPr>
          <w:rStyle w:val="FootnoteReference"/>
          <w:rFonts w:cstheme="minorHAnsi"/>
          <w:color w:val="000000" w:themeColor="text1"/>
        </w:rPr>
        <w:footnoteReference w:id="3"/>
      </w:r>
    </w:p>
    <w:p w14:paraId="3D958A4F" w14:textId="77777777" w:rsidR="00762BC9" w:rsidRDefault="00762BC9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CA91D0F" w14:textId="6F536011" w:rsidR="00222D9B" w:rsidRPr="00222D9B" w:rsidRDefault="00222D9B" w:rsidP="00762BC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A more precise description of what has been practiced for most of Christian history would be called “monogamous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communion.” This phrase indicates fidelity and commitment to a tangible, historical tradition and to a body of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membership that likewise has committed themselves to the same. It is more faithful to the organic biblical terminology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identifying the Church as Christ’s own Body (1 Cor. 12:27), His Bride (Rev. 21:9), the “Israel of God” (Gal. 6:16), “God’s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field” and </w:t>
      </w:r>
      <w:r w:rsidRPr="00222D9B">
        <w:rPr>
          <w:rFonts w:cstheme="minorHAnsi"/>
          <w:color w:val="000000" w:themeColor="text1"/>
        </w:rPr>
        <w:lastRenderedPageBreak/>
        <w:t>“building” (1 Cor. 3:9), and the Vine to which individual members are then “grafted in” (Rom. 11:17).</w:t>
      </w:r>
    </w:p>
    <w:p w14:paraId="54F7C4A1" w14:textId="77777777" w:rsidR="00762BC9" w:rsidRDefault="00762BC9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D85D530" w14:textId="6FA88897" w:rsidR="00222D9B" w:rsidRDefault="00222D9B" w:rsidP="00762BC9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As we shall see, “monogamous communion” – the practice of maintaining fidelity to a body of belief as confessed, lived,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and embodied tangibly in continuity with and within an identifiable community of believers – is the historical practice of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the Church. It has been so, not merely as one option among many, but as the very expression of earliest understanding</w:t>
      </w:r>
      <w:r w:rsidR="00762BC9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of ecclesiology.</w:t>
      </w:r>
    </w:p>
    <w:p w14:paraId="56DAB068" w14:textId="77777777" w:rsidR="00762BC9" w:rsidRPr="00222D9B" w:rsidRDefault="00762BC9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2505F50" w14:textId="1EAE5E20" w:rsidR="00222D9B" w:rsidRPr="00762BC9" w:rsidRDefault="00222D9B" w:rsidP="00222D9B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762BC9">
        <w:rPr>
          <w:rFonts w:cstheme="minorHAnsi"/>
          <w:b/>
          <w:bCs/>
          <w:color w:val="000000" w:themeColor="text1"/>
        </w:rPr>
        <w:t>Some Historical Perspective</w:t>
      </w:r>
    </w:p>
    <w:p w14:paraId="225DAB06" w14:textId="77777777" w:rsidR="00762BC9" w:rsidRPr="00222D9B" w:rsidRDefault="00762BC9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93BBAE8" w14:textId="01E81FA3" w:rsidR="00222D9B" w:rsidRPr="00222D9B" w:rsidRDefault="00222D9B" w:rsidP="00990BD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It was not until the beginning of the 20th century that open communion became anything more than highly unusual.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Anglicans and Episcopalians, Lutherans, Baptists, Reformed Presbyterians, and Methodists all practiced closed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communion at least until that time.</w:t>
      </w:r>
      <w:r w:rsidR="00C87AD5">
        <w:rPr>
          <w:rStyle w:val="FootnoteReference"/>
          <w:rFonts w:cstheme="minorHAnsi"/>
          <w:color w:val="000000" w:themeColor="text1"/>
        </w:rPr>
        <w:footnoteReference w:id="4"/>
      </w:r>
      <w:r w:rsidRPr="00222D9B">
        <w:rPr>
          <w:rFonts w:cstheme="minorHAnsi"/>
          <w:color w:val="000000" w:themeColor="text1"/>
        </w:rPr>
        <w:t xml:space="preserve"> That means for close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to 1,900 years the sharing of communion between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Christians of differing faith was quite exceptional.</w:t>
      </w:r>
      <w:r w:rsidR="00C87AD5">
        <w:rPr>
          <w:rStyle w:val="FootnoteReference"/>
          <w:rFonts w:cstheme="minorHAnsi"/>
          <w:color w:val="000000" w:themeColor="text1"/>
        </w:rPr>
        <w:footnoteReference w:id="5"/>
      </w:r>
    </w:p>
    <w:p w14:paraId="7CADAF99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B83516B" w14:textId="6A04EF8C" w:rsidR="00222D9B" w:rsidRPr="00222D9B" w:rsidRDefault="00222D9B" w:rsidP="00990BD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proofErr w:type="gramStart"/>
      <w:r w:rsidRPr="00222D9B">
        <w:rPr>
          <w:rFonts w:cstheme="minorHAnsi"/>
          <w:color w:val="000000" w:themeColor="text1"/>
        </w:rPr>
        <w:t>Of course</w:t>
      </w:r>
      <w:proofErr w:type="gramEnd"/>
      <w:r w:rsidRPr="00222D9B">
        <w:rPr>
          <w:rFonts w:cstheme="minorHAnsi"/>
          <w:color w:val="000000" w:themeColor="text1"/>
        </w:rPr>
        <w:t xml:space="preserve"> both the Orthodox and Catholic restrict the serving of communion to sacramental members of their respective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churches. Protestant denominations also followed the long-standing tradition of the ancient Church. Methodists, for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instance, were required to renew a “note of admission” to communion quarterly. Among Presbyterians, certificates of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good standing were issued to those who, after being examined, were approved.</w:t>
      </w:r>
    </w:p>
    <w:p w14:paraId="7A4E03E7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311C7A5" w14:textId="4735745B" w:rsidR="00222D9B" w:rsidRPr="00222D9B" w:rsidRDefault="00222D9B" w:rsidP="00990BD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This normative approach to communal unity was carried on from the founders of the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Protestant Reformation, particularly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Luther and Calvin. The latter wrote passionately defending the practice of a rigorous examination of beliefs prior to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admission to communion.</w:t>
      </w:r>
    </w:p>
    <w:p w14:paraId="69ADD38E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3E36A66" w14:textId="2869E6A6" w:rsidR="00222D9B" w:rsidRPr="00222D9B" w:rsidRDefault="00222D9B" w:rsidP="00990BD7">
      <w:pPr>
        <w:autoSpaceDE w:val="0"/>
        <w:autoSpaceDN w:val="0"/>
        <w:adjustRightInd w:val="0"/>
        <w:ind w:left="72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“For everyone to be admitted to the Lord’s Supper, without distinction or selection, is a sign of contempt that the Lord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cannot endure. The Lord himself distributed the supper to his disciples only</w:t>
      </w:r>
      <w:proofErr w:type="gramStart"/>
      <w:r w:rsidRPr="00222D9B">
        <w:rPr>
          <w:rFonts w:cstheme="minorHAnsi"/>
          <w:color w:val="000000" w:themeColor="text1"/>
        </w:rPr>
        <w:t>….No</w:t>
      </w:r>
      <w:proofErr w:type="gramEnd"/>
      <w:r w:rsidRPr="00222D9B">
        <w:rPr>
          <w:rFonts w:cstheme="minorHAnsi"/>
          <w:color w:val="000000" w:themeColor="text1"/>
        </w:rPr>
        <w:t xml:space="preserve"> one should be distressed when his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Christianity is examined even down to the finest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point when he is to be admitted to the Lord’s Supper. It should be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established as part of the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total state and system of discipline that ought to flourish in the church that those who are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judged unworthy should not be admitted."</w:t>
      </w:r>
      <w:r w:rsidR="00C87AD5">
        <w:rPr>
          <w:rStyle w:val="FootnoteReference"/>
          <w:rFonts w:cstheme="minorHAnsi"/>
          <w:color w:val="000000" w:themeColor="text1"/>
        </w:rPr>
        <w:footnoteReference w:id="6"/>
      </w:r>
    </w:p>
    <w:p w14:paraId="4611C815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ACAD0CA" w14:textId="527677FD" w:rsidR="00222D9B" w:rsidRPr="00222D9B" w:rsidRDefault="00222D9B" w:rsidP="00990BD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In addition to concerns for proper instruction and preparation, Luther could not and would not tolerate divergent views of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the Eucharist itself among communicants.</w:t>
      </w:r>
    </w:p>
    <w:p w14:paraId="2EED3B2B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3695AD7" w14:textId="123B2694" w:rsidR="00222D9B" w:rsidRPr="00222D9B" w:rsidRDefault="00222D9B" w:rsidP="00990BD7">
      <w:pPr>
        <w:autoSpaceDE w:val="0"/>
        <w:autoSpaceDN w:val="0"/>
        <w:adjustRightInd w:val="0"/>
        <w:ind w:left="72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“It terrifies me to hear that in one and the same church or at one and the same altar both parties are to find and to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receive one and the same Sacrament and one party is to believe that it receives nothing but bread and wine, while the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other is to believe that it receives the true body and blood of Christ. And I often wonder whether it is credible that a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preacher or shepherd of souls can be so hardened and malicious as to say nothing about this and let both parties go on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in this way, receiving one and the same Sacrament, everyone according to his own faith, etc. If such a person exists, he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must have a heart harder than any stone, steel, or adamant. He must, in fact, be an apostle of wrath. Whoever,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therefore, has such preachers or suspects them to be such, let him be warned against them as against the devil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incarnate himself.”</w:t>
      </w:r>
      <w:r w:rsidR="00C87AD5">
        <w:rPr>
          <w:rStyle w:val="FootnoteReference"/>
          <w:rFonts w:cstheme="minorHAnsi"/>
          <w:color w:val="000000" w:themeColor="text1"/>
        </w:rPr>
        <w:footnoteReference w:id="7"/>
      </w:r>
    </w:p>
    <w:p w14:paraId="4F09BE91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152055C" w14:textId="09C79E2A" w:rsidR="00222D9B" w:rsidRPr="00222D9B" w:rsidRDefault="00222D9B" w:rsidP="00990BD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It should be clear from the above that, according to Martin Luther’s own criteria for shared communion, modern day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Evangelicals would be prohibited from receiving communion in the Catholic and Orthodox communions.</w:t>
      </w:r>
    </w:p>
    <w:p w14:paraId="1A74ED0D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AE49651" w14:textId="092E2AD1" w:rsidR="00222D9B" w:rsidRPr="00222D9B" w:rsidRDefault="00222D9B" w:rsidP="00990BD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Even in the first millennium of Christian history, when we see one, tangible, worldwide Christendom, the idea of “open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communion” with Christians of divergent views was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inconceivable. In the case of heresy, whether Iconoclasm,</w:t>
      </w:r>
    </w:p>
    <w:p w14:paraId="08CBEDF4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65D4712" w14:textId="218F3DCF" w:rsidR="00222D9B" w:rsidRPr="00222D9B" w:rsidRDefault="00222D9B" w:rsidP="00990BD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Monothelitism, Nestorianism, Arianism, Montanism, Gnosticism – all of whom sincerely confessed Jesus Christ as Lord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and took the name “Christian” – neither orthodox nor heretic shared the chalice with the other.</w:t>
      </w:r>
    </w:p>
    <w:p w14:paraId="1317113D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9F4A791" w14:textId="04CF2744" w:rsidR="00222D9B" w:rsidRPr="00222D9B" w:rsidRDefault="00222D9B" w:rsidP="00990BD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Remarkably, this was also true in the event of a “pure” schism, as with the Donatists in North Africa (4th-5th c.) and the</w:t>
      </w:r>
      <w:r w:rsidR="00990BD7">
        <w:rPr>
          <w:rFonts w:cstheme="minorHAnsi"/>
          <w:color w:val="000000" w:themeColor="text1"/>
        </w:rPr>
        <w:t xml:space="preserve"> </w:t>
      </w:r>
      <w:proofErr w:type="spellStart"/>
      <w:r w:rsidRPr="00222D9B">
        <w:rPr>
          <w:rFonts w:cstheme="minorHAnsi"/>
          <w:color w:val="000000" w:themeColor="text1"/>
        </w:rPr>
        <w:t>Novatianists</w:t>
      </w:r>
      <w:proofErr w:type="spellEnd"/>
      <w:r w:rsidRPr="00222D9B">
        <w:rPr>
          <w:rFonts w:cstheme="minorHAnsi"/>
          <w:color w:val="000000" w:themeColor="text1"/>
        </w:rPr>
        <w:t xml:space="preserve"> in Rome (AD 251). In each instance these Christians separated from the larger Church in protest for what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they saw as disciplinary laxity. While both groups confessed and practiced an identical faith, liturgical and sacramental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practice with that of the whole Church, shared communion was never admissible since community was severed.</w:t>
      </w:r>
    </w:p>
    <w:p w14:paraId="675F2814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2599447" w14:textId="651BF1DE" w:rsidR="00222D9B" w:rsidRPr="00222D9B" w:rsidRDefault="00222D9B" w:rsidP="00990BD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In the early 2nd century, the words of Ignatius of Antioch echo those of the apostle Paul (Tit. 3:10) regarding those who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hold heretical views. His teaching is particularly pertinent since it relates directly to the nature of the Eucharist itself.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Speaking about why these heretical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Christians had subordinated the importance and frequency of their own church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gatherings, he explains:</w:t>
      </w:r>
    </w:p>
    <w:p w14:paraId="0EC53DC6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20EE0F9" w14:textId="26BBA5E0" w:rsidR="00222D9B" w:rsidRPr="00222D9B" w:rsidRDefault="00222D9B" w:rsidP="00990BD7">
      <w:pPr>
        <w:autoSpaceDE w:val="0"/>
        <w:autoSpaceDN w:val="0"/>
        <w:adjustRightInd w:val="0"/>
        <w:ind w:left="72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lastRenderedPageBreak/>
        <w:t>“They abstain from Eucharist and [the normative liturgical] prayer because they do not acknowledge that the Eucharist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is the flesh of our Savior Jesus Christ which suffered for our sins</w:t>
      </w:r>
      <w:proofErr w:type="gramStart"/>
      <w:r w:rsidRPr="00222D9B">
        <w:rPr>
          <w:rFonts w:cstheme="minorHAnsi"/>
          <w:color w:val="000000" w:themeColor="text1"/>
        </w:rPr>
        <w:t>….It</w:t>
      </w:r>
      <w:proofErr w:type="gramEnd"/>
      <w:r w:rsidRPr="00222D9B">
        <w:rPr>
          <w:rFonts w:cstheme="minorHAnsi"/>
          <w:color w:val="000000" w:themeColor="text1"/>
        </w:rPr>
        <w:t xml:space="preserve"> is fitting to keep away from such men….”</w:t>
      </w:r>
    </w:p>
    <w:p w14:paraId="7E4FC623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2712D5F" w14:textId="7C50021B" w:rsidR="00222D9B" w:rsidRPr="00222D9B" w:rsidRDefault="00222D9B" w:rsidP="00990BD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We find this understanding in Ignatius and all the early Church Fathers, not in order to promote division, but precisely to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promote and preserve a real, substantial, and complete unity. Since the Eucharist reflects the unity that God shares with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His Son and Spirit, it is incomprehensible to have union with believers of discordant mind and doctrine. </w:t>
      </w:r>
      <w:proofErr w:type="gramStart"/>
      <w:r w:rsidRPr="00222D9B">
        <w:rPr>
          <w:rFonts w:cstheme="minorHAnsi"/>
          <w:color w:val="000000" w:themeColor="text1"/>
        </w:rPr>
        <w:t>So</w:t>
      </w:r>
      <w:proofErr w:type="gramEnd"/>
      <w:r w:rsidRPr="00222D9B">
        <w:rPr>
          <w:rFonts w:cstheme="minorHAnsi"/>
          <w:color w:val="000000" w:themeColor="text1"/>
        </w:rPr>
        <w:t xml:space="preserve"> Ignatius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insists that his hearers remain “in one faith and in Jesus Christ” with “the bishop and the presbytery…breaking one loaf,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which is the medicine of immortality, the antidote which results not in dying but in living forever in Jesus Christ.”</w:t>
      </w:r>
      <w:r w:rsidR="00C87AD5">
        <w:rPr>
          <w:rStyle w:val="FootnoteReference"/>
          <w:rFonts w:cstheme="minorHAnsi"/>
          <w:color w:val="000000" w:themeColor="text1"/>
        </w:rPr>
        <w:footnoteReference w:id="8"/>
      </w:r>
    </w:p>
    <w:p w14:paraId="734AB44D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AE66EE7" w14:textId="557136A8" w:rsidR="00222D9B" w:rsidRPr="00990BD7" w:rsidRDefault="00222D9B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90BD7">
        <w:rPr>
          <w:rFonts w:cstheme="minorHAnsi"/>
          <w:color w:val="000000" w:themeColor="text1"/>
        </w:rPr>
        <w:t>This leads us to the meaning of communion itself.</w:t>
      </w:r>
    </w:p>
    <w:p w14:paraId="1132D872" w14:textId="77777777" w:rsidR="00E15041" w:rsidRPr="00E15041" w:rsidRDefault="00E15041" w:rsidP="00222D9B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35396225" w14:textId="13F3F60C" w:rsidR="00222D9B" w:rsidRPr="00E15041" w:rsidRDefault="00222D9B" w:rsidP="00222D9B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E15041">
        <w:rPr>
          <w:rFonts w:cstheme="minorHAnsi"/>
          <w:b/>
          <w:bCs/>
          <w:color w:val="000000" w:themeColor="text1"/>
        </w:rPr>
        <w:t xml:space="preserve">What Do We Mean </w:t>
      </w:r>
      <w:proofErr w:type="gramStart"/>
      <w:r w:rsidRPr="00E15041">
        <w:rPr>
          <w:rFonts w:cstheme="minorHAnsi"/>
          <w:b/>
          <w:bCs/>
          <w:color w:val="000000" w:themeColor="text1"/>
        </w:rPr>
        <w:t>By</w:t>
      </w:r>
      <w:proofErr w:type="gramEnd"/>
      <w:r w:rsidRPr="00E15041">
        <w:rPr>
          <w:rFonts w:cstheme="minorHAnsi"/>
          <w:b/>
          <w:bCs/>
          <w:color w:val="000000" w:themeColor="text1"/>
        </w:rPr>
        <w:t xml:space="preserve"> Communion?</w:t>
      </w:r>
    </w:p>
    <w:p w14:paraId="7A9FF1D6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576F131" w14:textId="5B66322E" w:rsidR="00222D9B" w:rsidRPr="00990BD7" w:rsidRDefault="00222D9B" w:rsidP="00222D9B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990BD7">
        <w:rPr>
          <w:rFonts w:cstheme="minorHAnsi"/>
          <w:b/>
          <w:bCs/>
          <w:color w:val="000000" w:themeColor="text1"/>
        </w:rPr>
        <w:t>The Holy Trinity: The Model of Communion</w:t>
      </w:r>
    </w:p>
    <w:p w14:paraId="1167EFC6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2A23AC3" w14:textId="7D85DFC4" w:rsidR="00222D9B" w:rsidRPr="00222D9B" w:rsidRDefault="00222D9B" w:rsidP="00990BD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The model for the meaning of communion and Christian unity has always been God Himself, the Holy Trinity. While the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Father, Son, and Holy Spirit are distinct and unique Persons, they are one; not mathematically, but in a communion of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persons. The three divine Persons of the Trinity exist together in a perfect communion of love and truth expressed by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their common will, energy, and activity.</w:t>
      </w:r>
    </w:p>
    <w:p w14:paraId="5860872C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E3DB257" w14:textId="028C416E" w:rsidR="00222D9B" w:rsidRPr="00222D9B" w:rsidRDefault="00222D9B" w:rsidP="00990BD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Through the work of Christ, God restores the potential for the life of communion for which He created man, even taking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our humanity into the very bosom of the Holy Trinity in Christ’s ascension. By taking upon Himself a Body, Jesus Christ,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one of the Holy Trinity, makes possible the return to this life of communion by being brought into communion with His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Body, the Church.</w:t>
      </w:r>
    </w:p>
    <w:p w14:paraId="36070A59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FEF65A8" w14:textId="0A2E873E" w:rsidR="00222D9B" w:rsidRPr="00E15041" w:rsidRDefault="00222D9B" w:rsidP="00222D9B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E15041">
        <w:rPr>
          <w:rFonts w:cstheme="minorHAnsi"/>
          <w:b/>
          <w:bCs/>
          <w:color w:val="000000" w:themeColor="text1"/>
        </w:rPr>
        <w:t>The Church: Communal Life</w:t>
      </w:r>
    </w:p>
    <w:p w14:paraId="6AF30FE7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20A9307" w14:textId="63B62E02" w:rsidR="00222D9B" w:rsidRPr="00222D9B" w:rsidRDefault="00222D9B" w:rsidP="00990BD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 xml:space="preserve">Through this biblical and patristic </w:t>
      </w:r>
      <w:proofErr w:type="gramStart"/>
      <w:r w:rsidRPr="00222D9B">
        <w:rPr>
          <w:rFonts w:cstheme="minorHAnsi"/>
          <w:color w:val="000000" w:themeColor="text1"/>
        </w:rPr>
        <w:t>perspective</w:t>
      </w:r>
      <w:proofErr w:type="gramEnd"/>
      <w:r w:rsidRPr="00222D9B">
        <w:rPr>
          <w:rFonts w:cstheme="minorHAnsi"/>
          <w:color w:val="000000" w:themeColor="text1"/>
        </w:rPr>
        <w:t xml:space="preserve"> we see that communion is not one aspect of the life of the Church, it is the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life of the Church. The Church is communion. We see this vividly in the scriptural account of the first church community,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for “all who believed were together, and had all things in common” (Ac. 2:44).</w:t>
      </w:r>
    </w:p>
    <w:p w14:paraId="2800CC7E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BF4BDBB" w14:textId="1297DF7D" w:rsidR="00222D9B" w:rsidRPr="00222D9B" w:rsidRDefault="00222D9B" w:rsidP="00990BD7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Communion is a package deal. It does not happen without reference to the tangible life of the community. It is not an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isolated moment where I “take” communion on my own terms, without reference to the community, its corporate faith</w:t>
      </w:r>
      <w:r w:rsidR="00990BD7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and life, its tradition. Such a communion never existed in the historical Church.</w:t>
      </w:r>
    </w:p>
    <w:p w14:paraId="5AD53FCE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BB2CC21" w14:textId="4EA141F1" w:rsidR="00222D9B" w:rsidRPr="00222D9B" w:rsidRDefault="00222D9B" w:rsidP="009574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lastRenderedPageBreak/>
        <w:t>And this is where the understanding and practice of “open communion” is in direct opposition to the normative Christian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understanding: Holy Communion is not just an act of uniting oneself to Jesus Christ, if by that we mean an isolated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Person. As Augustine reminds us, since the incarnation and resurrection, Christ is never alone. The “whole Christ,” as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he puts it, is Christ with His Body.</w:t>
      </w:r>
    </w:p>
    <w:p w14:paraId="3CD94486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D5FDB01" w14:textId="1B2114E2" w:rsidR="00222D9B" w:rsidRPr="00222D9B" w:rsidRDefault="00222D9B" w:rsidP="009574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proofErr w:type="gramStart"/>
      <w:r w:rsidRPr="00222D9B">
        <w:rPr>
          <w:rFonts w:cstheme="minorHAnsi"/>
          <w:color w:val="000000" w:themeColor="text1"/>
        </w:rPr>
        <w:t>Therefore</w:t>
      </w:r>
      <w:proofErr w:type="gramEnd"/>
      <w:r w:rsidRPr="00222D9B">
        <w:rPr>
          <w:rFonts w:cstheme="minorHAnsi"/>
          <w:color w:val="000000" w:themeColor="text1"/>
        </w:rPr>
        <w:t xml:space="preserve"> Communion is not only a matter between the Lord and me, it is an act of communion with Christ in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community. When I receive Holy </w:t>
      </w:r>
      <w:proofErr w:type="gramStart"/>
      <w:r w:rsidRPr="00222D9B">
        <w:rPr>
          <w:rFonts w:cstheme="minorHAnsi"/>
          <w:color w:val="000000" w:themeColor="text1"/>
        </w:rPr>
        <w:t>Communion</w:t>
      </w:r>
      <w:proofErr w:type="gramEnd"/>
      <w:r w:rsidRPr="00222D9B">
        <w:rPr>
          <w:rFonts w:cstheme="minorHAnsi"/>
          <w:color w:val="000000" w:themeColor="text1"/>
        </w:rPr>
        <w:t xml:space="preserve"> I also unite myself with a body of believers and with their doctrinal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teaching, worship, life of discipline, and leadership.</w:t>
      </w:r>
      <w:r w:rsidR="00C87AD5">
        <w:rPr>
          <w:rStyle w:val="FootnoteReference"/>
          <w:rFonts w:cstheme="minorHAnsi"/>
          <w:color w:val="000000" w:themeColor="text1"/>
        </w:rPr>
        <w:footnoteReference w:id="9"/>
      </w:r>
      <w:r w:rsidRPr="00222D9B">
        <w:rPr>
          <w:rFonts w:cstheme="minorHAnsi"/>
          <w:color w:val="000000" w:themeColor="text1"/>
        </w:rPr>
        <w:t xml:space="preserve"> In partaking of Holy Communion we give ourselves in marriage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to a particular body, a specific faith community with a real history and tradition, embodying a real set of beliefs and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practices that express those beliefs. We also unite ourselves to all the true members of that </w:t>
      </w:r>
      <w:proofErr w:type="gramStart"/>
      <w:r w:rsidRPr="00222D9B">
        <w:rPr>
          <w:rFonts w:cstheme="minorHAnsi"/>
          <w:color w:val="000000" w:themeColor="text1"/>
        </w:rPr>
        <w:t>particular communion</w:t>
      </w:r>
      <w:proofErr w:type="gramEnd"/>
      <w:r w:rsidRPr="00222D9B">
        <w:rPr>
          <w:rFonts w:cstheme="minorHAnsi"/>
          <w:color w:val="000000" w:themeColor="text1"/>
        </w:rPr>
        <w:t>, past,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present, and future. Put simply, we become a “member” of that church.</w:t>
      </w:r>
    </w:p>
    <w:p w14:paraId="42D6BE42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6E275B8" w14:textId="73964A3A" w:rsidR="00222D9B" w:rsidRPr="00222D9B" w:rsidRDefault="00222D9B" w:rsidP="009574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 xml:space="preserve">Communion is not only a vertical act of union, </w:t>
      </w:r>
      <w:proofErr w:type="gramStart"/>
      <w:r w:rsidRPr="00222D9B">
        <w:rPr>
          <w:rFonts w:cstheme="minorHAnsi"/>
          <w:color w:val="000000" w:themeColor="text1"/>
        </w:rPr>
        <w:t>i.e.</w:t>
      </w:r>
      <w:proofErr w:type="gramEnd"/>
      <w:r w:rsidRPr="00222D9B">
        <w:rPr>
          <w:rFonts w:cstheme="minorHAnsi"/>
          <w:color w:val="000000" w:themeColor="text1"/>
        </w:rPr>
        <w:t xml:space="preserve"> with Christ; it is also horizontal, it unites us with those gathered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together as church. Holy Communion is not a “generic” sacrament, disconnected from its ecclesial context. It is the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sacrament of a specific and concrete community, united by a specific polity, theology, morality, worship, and spirituality.</w:t>
      </w:r>
    </w:p>
    <w:p w14:paraId="16B1D961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A8CCA66" w14:textId="20F99A7A" w:rsidR="00222D9B" w:rsidRPr="00222D9B" w:rsidRDefault="00222D9B" w:rsidP="009574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According to the historic Christian teaching reflected in the early Church Fathers, admittance to Holy Communion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means embracing the entire faith tradition of the body. Before Holy Communion can be received, communion must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already be achieved.</w:t>
      </w:r>
    </w:p>
    <w:p w14:paraId="07FDC66D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CB8E97F" w14:textId="10B155A6" w:rsidR="00222D9B" w:rsidRPr="00222D9B" w:rsidRDefault="00222D9B" w:rsidP="00C87AD5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In the patristic understanding then, to receive communion in a Lutheran church implies you have become a member of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the Lutheran communion. To receive in a Presbyterian church is to profess union with the Reformed tradition. To receive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communion in a Mormon church is to join oneself to Mormon doctrine and tradition and to place oneself in communion</w:t>
      </w:r>
      <w:r w:rsidR="00C87AD5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with all Mormons throughout the world. Whether we mean to do this or not, is not the point.</w:t>
      </w:r>
    </w:p>
    <w:p w14:paraId="222385C3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6360DF8" w14:textId="7B4727BE" w:rsidR="00222D9B" w:rsidRPr="00222D9B" w:rsidRDefault="00222D9B" w:rsidP="009574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Despite the good intentions of John Lenin, there is no imaginary world or church without borders or beliefs. These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borders and beliefs matter, especially to human persons who also have borders and freedom to choose their beliefs.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These borders and beliefs have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consequences. They may bring us into union with God or they may not. In the end this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is a blessing because it forces us to make important decisions as to who and what we are really in communion with.</w:t>
      </w:r>
    </w:p>
    <w:p w14:paraId="77ABF8D9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606DE84" w14:textId="49D038B1" w:rsidR="00222D9B" w:rsidRPr="00222D9B" w:rsidRDefault="00222D9B" w:rsidP="009574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The Old Covenant was no different in this respect. When you joined Israel you joined the whole Israel – the creed, the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worship, the rituals, the community, the religious culture, the whole way of life. You did not have the luxury of adopting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the tradition of celebrating the Passover but passing over the Feast of </w:t>
      </w:r>
      <w:proofErr w:type="gramStart"/>
      <w:r w:rsidRPr="00222D9B">
        <w:rPr>
          <w:rFonts w:cstheme="minorHAnsi"/>
          <w:color w:val="000000" w:themeColor="text1"/>
        </w:rPr>
        <w:t>Booths, or</w:t>
      </w:r>
      <w:proofErr w:type="gramEnd"/>
      <w:r w:rsidRPr="00222D9B">
        <w:rPr>
          <w:rFonts w:cstheme="minorHAnsi"/>
          <w:color w:val="000000" w:themeColor="text1"/>
        </w:rPr>
        <w:t xml:space="preserve"> making sacrifices of thanksgiving but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none for sin.</w:t>
      </w:r>
    </w:p>
    <w:p w14:paraId="30BDF0A8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D2F7448" w14:textId="2F0EC80E" w:rsidR="00222D9B" w:rsidRPr="00222D9B" w:rsidRDefault="00222D9B" w:rsidP="009574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 xml:space="preserve">And </w:t>
      </w:r>
      <w:proofErr w:type="gramStart"/>
      <w:r w:rsidRPr="00222D9B">
        <w:rPr>
          <w:rFonts w:cstheme="minorHAnsi"/>
          <w:color w:val="000000" w:themeColor="text1"/>
        </w:rPr>
        <w:t>so</w:t>
      </w:r>
      <w:proofErr w:type="gramEnd"/>
      <w:r w:rsidRPr="00222D9B">
        <w:rPr>
          <w:rFonts w:cstheme="minorHAnsi"/>
          <w:color w:val="000000" w:themeColor="text1"/>
        </w:rPr>
        <w:t xml:space="preserve"> the apostle Paul uses organic language when he speaks about the gentiles coming into the communion of the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Church, “the Israel of God” (Gal. 6:16). He says they were “grafted in” to </w:t>
      </w:r>
      <w:r w:rsidRPr="00222D9B">
        <w:rPr>
          <w:rFonts w:cstheme="minorHAnsi"/>
          <w:color w:val="000000" w:themeColor="text1"/>
        </w:rPr>
        <w:lastRenderedPageBreak/>
        <w:t>the “olive tree” (Rom. 11:17), the Church. Just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as were the Jewish converts described in Acts 2, those gentiles who confessed Jesus as the Messiah were grafted into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the specific tradition of the apostles, into their “fellowship” (communion), into their “pattern of sound words,” (2 Tim.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1:13), into their life of communal worship, their church order, and way of life.</w:t>
      </w:r>
    </w:p>
    <w:p w14:paraId="289EE3F1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08CB9E8" w14:textId="01C61EF9" w:rsidR="00222D9B" w:rsidRPr="00E15041" w:rsidRDefault="00222D9B" w:rsidP="00222D9B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E15041">
        <w:rPr>
          <w:rFonts w:cstheme="minorHAnsi"/>
          <w:b/>
          <w:bCs/>
          <w:color w:val="000000" w:themeColor="text1"/>
        </w:rPr>
        <w:t>Church Tradition: The Boundary of Communion</w:t>
      </w:r>
    </w:p>
    <w:p w14:paraId="4B9FAC47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44FA31C" w14:textId="767325FE" w:rsidR="00222D9B" w:rsidRPr="00222D9B" w:rsidRDefault="00222D9B" w:rsidP="009574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 xml:space="preserve">To be in communion with any </w:t>
      </w:r>
      <w:proofErr w:type="gramStart"/>
      <w:r w:rsidRPr="00222D9B">
        <w:rPr>
          <w:rFonts w:cstheme="minorHAnsi"/>
          <w:color w:val="000000" w:themeColor="text1"/>
        </w:rPr>
        <w:t>particular church</w:t>
      </w:r>
      <w:proofErr w:type="gramEnd"/>
      <w:r w:rsidRPr="00222D9B">
        <w:rPr>
          <w:rFonts w:cstheme="minorHAnsi"/>
          <w:color w:val="000000" w:themeColor="text1"/>
        </w:rPr>
        <w:t xml:space="preserve"> body is to adopt their church tradition.</w:t>
      </w:r>
      <w:r w:rsidR="00C87AD5">
        <w:rPr>
          <w:rStyle w:val="FootnoteReference"/>
          <w:rFonts w:cstheme="minorHAnsi"/>
          <w:color w:val="000000" w:themeColor="text1"/>
        </w:rPr>
        <w:footnoteReference w:id="10"/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Though hard to accept for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some, according to the Scriptures church tradition is the unifying bond of Christian fellowship. It is the name we give to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that body of doctrine, moral teaching, worship, and church polity inherited by a group of believers. In one of his earliest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letters the apostle Paul attests to this: “Therefore, brethren, stand fast and hold the traditions which you were taught,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whether by word or our epistle” (2 Thess. 2:15). And he praises the Corinthians who “keep the traditions just as I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delivered them to you” (1 Cor. 11:2).</w:t>
      </w:r>
    </w:p>
    <w:p w14:paraId="03BE22BD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6EDE237" w14:textId="158D9668" w:rsidR="00222D9B" w:rsidRPr="00222D9B" w:rsidRDefault="00222D9B" w:rsidP="009574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The tradition is more than a set of intellectual beliefs. It encompasses a way of life, sets a boundary for what is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necessary and true, and either unites or disengages one from communion with others: “But we command you, brethren,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in the name of our Lord Jesus Christ, that you withdraw from every brother who walks disorderly and not according to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the tradition which he received from us” (2 Thess. 3:6).</w:t>
      </w:r>
    </w:p>
    <w:p w14:paraId="3AFB4A83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F353DF4" w14:textId="04199124" w:rsidR="00222D9B" w:rsidRPr="00222D9B" w:rsidRDefault="00222D9B" w:rsidP="009574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Like the Church itself, Church tradition is not invisible or secret. It is something that is lived and has been lived by those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who came before. As Paul writes to the Hebrews: “Remember your leaders, those who spoke to you the word of God;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consider the outcome of their life, and imitate their </w:t>
      </w:r>
      <w:proofErr w:type="gramStart"/>
      <w:r w:rsidRPr="00222D9B">
        <w:rPr>
          <w:rFonts w:cstheme="minorHAnsi"/>
          <w:color w:val="000000" w:themeColor="text1"/>
        </w:rPr>
        <w:t>faith ”</w:t>
      </w:r>
      <w:proofErr w:type="gramEnd"/>
      <w:r w:rsidRPr="00222D9B">
        <w:rPr>
          <w:rFonts w:cstheme="minorHAnsi"/>
          <w:color w:val="000000" w:themeColor="text1"/>
        </w:rPr>
        <w:t xml:space="preserve"> (Heb. 13:7, RSV). The faith and tradition of any church group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can be seen and experienced by observing its corporate life. As Irenaeus, bishop of Lyon, testifies:</w:t>
      </w:r>
    </w:p>
    <w:p w14:paraId="514F2B53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6734719" w14:textId="591854F8" w:rsidR="00222D9B" w:rsidRPr="00222D9B" w:rsidRDefault="00222D9B" w:rsidP="00957446">
      <w:pPr>
        <w:autoSpaceDE w:val="0"/>
        <w:autoSpaceDN w:val="0"/>
        <w:adjustRightInd w:val="0"/>
        <w:ind w:left="72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“It is within the power of all, therefore, in every church, who may wish to see the truth, to contemplate clearly the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tradition of the apostles manifested throughout the whole world.”</w:t>
      </w:r>
      <w:r w:rsidR="00C87AD5">
        <w:rPr>
          <w:rStyle w:val="FootnoteReference"/>
          <w:rFonts w:cstheme="minorHAnsi"/>
          <w:color w:val="000000" w:themeColor="text1"/>
        </w:rPr>
        <w:footnoteReference w:id="11"/>
      </w:r>
    </w:p>
    <w:p w14:paraId="1422DE4F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8290000" w14:textId="7CD22A40" w:rsidR="00222D9B" w:rsidRPr="00222D9B" w:rsidRDefault="00222D9B" w:rsidP="00957446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 xml:space="preserve">What has been passed down and preserved within a church body, </w:t>
      </w:r>
      <w:proofErr w:type="gramStart"/>
      <w:r w:rsidRPr="00222D9B">
        <w:rPr>
          <w:rFonts w:cstheme="minorHAnsi"/>
          <w:color w:val="000000" w:themeColor="text1"/>
        </w:rPr>
        <w:t>i.e.</w:t>
      </w:r>
      <w:proofErr w:type="gramEnd"/>
      <w:r w:rsidRPr="00222D9B">
        <w:rPr>
          <w:rFonts w:cstheme="minorHAnsi"/>
          <w:color w:val="000000" w:themeColor="text1"/>
        </w:rPr>
        <w:t xml:space="preserve"> its faith tradition, is what makes it either possible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or impossible for us to unite ourselves to that body. If we are not in communion with that tradition, we cannot in clear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conscience have Eucharistic communion. If we whole-heartedly accept that tradition, we should be brought into</w:t>
      </w:r>
      <w:r w:rsidR="00957446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communion with that church and receive Holy Communion monogamously there.</w:t>
      </w:r>
    </w:p>
    <w:p w14:paraId="48976ACF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7F20885" w14:textId="18B73C77" w:rsidR="00222D9B" w:rsidRPr="00E15041" w:rsidRDefault="00222D9B" w:rsidP="00222D9B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E15041">
        <w:rPr>
          <w:rFonts w:cstheme="minorHAnsi"/>
          <w:b/>
          <w:bCs/>
          <w:color w:val="000000" w:themeColor="text1"/>
        </w:rPr>
        <w:t>Communal Considerations</w:t>
      </w:r>
    </w:p>
    <w:p w14:paraId="5D5EB5BB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38F770F" w14:textId="73242A9F" w:rsidR="00222D9B" w:rsidRPr="00222D9B" w:rsidRDefault="00222D9B" w:rsidP="00F11ACD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All of this is to convey that the practice of “closed” communion is not personal or vindictive. Christians of other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confessions are not excluded from Holy Communion based on a judgment of their personal faith, sincerity, or sanctity.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Rather they hold to a different Christian tradition and are united to a different Christian body.</w:t>
      </w:r>
    </w:p>
    <w:p w14:paraId="536D7752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C11672F" w14:textId="51F0D1F5" w:rsidR="00222D9B" w:rsidRPr="00222D9B" w:rsidRDefault="00222D9B" w:rsidP="00F11ACD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According to historical Christianity, the bishop is the guardian and embodiment of the tradition. Following this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understanding, the simple litmus test for determining whether one can receive the Eucharist of any </w:t>
      </w:r>
      <w:proofErr w:type="gramStart"/>
      <w:r w:rsidRPr="00222D9B">
        <w:rPr>
          <w:rFonts w:cstheme="minorHAnsi"/>
          <w:color w:val="000000" w:themeColor="text1"/>
        </w:rPr>
        <w:t>particular community</w:t>
      </w:r>
      <w:proofErr w:type="gramEnd"/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is this: “Is my bishop in communion with the bishop of this local church?” If he is, you are also in communion with this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church.</w:t>
      </w:r>
    </w:p>
    <w:p w14:paraId="4A5FCB7C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AD00DB2" w14:textId="2307126D" w:rsidR="00222D9B" w:rsidRPr="00222D9B" w:rsidRDefault="00222D9B" w:rsidP="00F11ACD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It is also worthy of note that churches that maintain the historical practice of monogamous communion, particularly the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Orthodox Church, require from church members a good bit of preparation before receiving Holy Communion. This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includes a recent confession of sin, fasting from all food and drink, prayers of preparation, reconciliation with those we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have offended, etc.</w:t>
      </w:r>
    </w:p>
    <w:p w14:paraId="35A9909E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6B00949" w14:textId="10E1485A" w:rsidR="00222D9B" w:rsidRPr="00222D9B" w:rsidRDefault="00222D9B" w:rsidP="00F11ACD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 xml:space="preserve">These requirements are not some legalistic </w:t>
      </w:r>
      <w:proofErr w:type="gramStart"/>
      <w:r w:rsidRPr="00222D9B">
        <w:rPr>
          <w:rFonts w:cstheme="minorHAnsi"/>
          <w:color w:val="000000" w:themeColor="text1"/>
        </w:rPr>
        <w:t>yoke</w:t>
      </w:r>
      <w:proofErr w:type="gramEnd"/>
      <w:r w:rsidRPr="00222D9B">
        <w:rPr>
          <w:rFonts w:cstheme="minorHAnsi"/>
          <w:color w:val="000000" w:themeColor="text1"/>
        </w:rPr>
        <w:t xml:space="preserve"> with which to burden people, but a guard against casual and negligent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reception, or worse, receiving in a state of sin without repentance. The apostle Paul warns that he who does so “eats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and drinks judgment to himself, not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discerning the Lord’s body. For this </w:t>
      </w:r>
      <w:proofErr w:type="gramStart"/>
      <w:r w:rsidRPr="00222D9B">
        <w:rPr>
          <w:rFonts w:cstheme="minorHAnsi"/>
          <w:color w:val="000000" w:themeColor="text1"/>
        </w:rPr>
        <w:t>reason</w:t>
      </w:r>
      <w:proofErr w:type="gramEnd"/>
      <w:r w:rsidRPr="00222D9B">
        <w:rPr>
          <w:rFonts w:cstheme="minorHAnsi"/>
          <w:color w:val="000000" w:themeColor="text1"/>
        </w:rPr>
        <w:t xml:space="preserve"> many are weak and sick among you, and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many sleep” (1 Cor. 11:29-30). If we take the Scriptures </w:t>
      </w:r>
      <w:proofErr w:type="gramStart"/>
      <w:r w:rsidRPr="00222D9B">
        <w:rPr>
          <w:rFonts w:cstheme="minorHAnsi"/>
          <w:color w:val="000000" w:themeColor="text1"/>
        </w:rPr>
        <w:t>seriously</w:t>
      </w:r>
      <w:proofErr w:type="gramEnd"/>
      <w:r w:rsidRPr="00222D9B">
        <w:rPr>
          <w:rFonts w:cstheme="minorHAnsi"/>
          <w:color w:val="000000" w:themeColor="text1"/>
        </w:rPr>
        <w:t xml:space="preserve"> we can see that not only is “closed communion”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prudent, it is a merciful and potentially lifesaving practice!</w:t>
      </w:r>
    </w:p>
    <w:p w14:paraId="22C068E4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A610D57" w14:textId="451DC94D" w:rsidR="00222D9B" w:rsidRPr="00E15041" w:rsidRDefault="00222D9B" w:rsidP="00222D9B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E15041">
        <w:rPr>
          <w:rFonts w:cstheme="minorHAnsi"/>
          <w:b/>
          <w:bCs/>
          <w:color w:val="000000" w:themeColor="text1"/>
        </w:rPr>
        <w:t>Conclusion</w:t>
      </w:r>
    </w:p>
    <w:p w14:paraId="5DBED213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B64040F" w14:textId="56BC75CA" w:rsidR="00222D9B" w:rsidRPr="00222D9B" w:rsidRDefault="00222D9B" w:rsidP="00F11ACD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The Christian Church, like Her Lord, is not an imaginary and invisible abstraction. The tradition of any church is concrete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and visible, expressed throughout history by real people in a tangible continuum of faith and practice (whether for 2,000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years or 2 years). Like the Holy Trinity, the Church is a community, a real communion expressed and embodied by a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shared faith and way of life. The maintenance of real communion necessitates borders and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boundaries, both doctrinal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and disciplinary. If a church is to be faithful to </w:t>
      </w:r>
      <w:proofErr w:type="spellStart"/>
      <w:proofErr w:type="gramStart"/>
      <w:r w:rsidRPr="00222D9B">
        <w:rPr>
          <w:rFonts w:cstheme="minorHAnsi"/>
          <w:color w:val="000000" w:themeColor="text1"/>
        </w:rPr>
        <w:t>it’s</w:t>
      </w:r>
      <w:proofErr w:type="spellEnd"/>
      <w:proofErr w:type="gramEnd"/>
      <w:r w:rsidRPr="00222D9B">
        <w:rPr>
          <w:rFonts w:cstheme="minorHAnsi"/>
          <w:color w:val="000000" w:themeColor="text1"/>
        </w:rPr>
        <w:t xml:space="preserve"> own tradition, the door will be opened to some things and closed to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others.</w:t>
      </w:r>
    </w:p>
    <w:p w14:paraId="723667E0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E85D22A" w14:textId="7500BA0F" w:rsidR="00222D9B" w:rsidRPr="00222D9B" w:rsidRDefault="00222D9B" w:rsidP="00F11ACD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Those who characterize the traditional practice as “closed communion” may forget that a church’s communion of faith,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and by extension its sacrament, is </w:t>
      </w:r>
      <w:proofErr w:type="gramStart"/>
      <w:r w:rsidRPr="00222D9B">
        <w:rPr>
          <w:rFonts w:cstheme="minorHAnsi"/>
          <w:color w:val="000000" w:themeColor="text1"/>
        </w:rPr>
        <w:t>actually open</w:t>
      </w:r>
      <w:proofErr w:type="gramEnd"/>
      <w:r w:rsidRPr="00222D9B">
        <w:rPr>
          <w:rFonts w:cstheme="minorHAnsi"/>
          <w:color w:val="000000" w:themeColor="text1"/>
        </w:rPr>
        <w:t xml:space="preserve"> to all who formally embrace it and unite themselves to it. This is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certainly true of the Orthodox Church. It is “closed” only in the way a </w:t>
      </w:r>
      <w:proofErr w:type="gramStart"/>
      <w:r w:rsidRPr="00222D9B">
        <w:rPr>
          <w:rFonts w:cstheme="minorHAnsi"/>
          <w:color w:val="000000" w:themeColor="text1"/>
        </w:rPr>
        <w:t>marriage</w:t>
      </w:r>
      <w:proofErr w:type="gramEnd"/>
      <w:r w:rsidRPr="00222D9B">
        <w:rPr>
          <w:rFonts w:cstheme="minorHAnsi"/>
          <w:color w:val="000000" w:themeColor="text1"/>
        </w:rPr>
        <w:t xml:space="preserve"> or a family is closed. While love and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hospitality is extended, there are reasonable limits to that hospitality, without which there is no real marriage or family.</w:t>
      </w:r>
    </w:p>
    <w:p w14:paraId="486F7EED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D143C00" w14:textId="5DA35FCC" w:rsidR="00222D9B" w:rsidRPr="00222D9B" w:rsidRDefault="00222D9B" w:rsidP="00F11ACD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 xml:space="preserve">A door that is always open is not a door </w:t>
      </w:r>
      <w:proofErr w:type="gramStart"/>
      <w:r w:rsidRPr="00222D9B">
        <w:rPr>
          <w:rFonts w:cstheme="minorHAnsi"/>
          <w:color w:val="000000" w:themeColor="text1"/>
        </w:rPr>
        <w:t>any more</w:t>
      </w:r>
      <w:proofErr w:type="gramEnd"/>
      <w:r w:rsidRPr="00222D9B">
        <w:rPr>
          <w:rFonts w:cstheme="minorHAnsi"/>
          <w:color w:val="000000" w:themeColor="text1"/>
        </w:rPr>
        <w:t xml:space="preserve">. A marriage that is open is not a marriage </w:t>
      </w:r>
      <w:proofErr w:type="gramStart"/>
      <w:r w:rsidRPr="00222D9B">
        <w:rPr>
          <w:rFonts w:cstheme="minorHAnsi"/>
          <w:color w:val="000000" w:themeColor="text1"/>
        </w:rPr>
        <w:t>any more</w:t>
      </w:r>
      <w:proofErr w:type="gramEnd"/>
      <w:r w:rsidRPr="00222D9B">
        <w:rPr>
          <w:rFonts w:cstheme="minorHAnsi"/>
          <w:color w:val="000000" w:themeColor="text1"/>
        </w:rPr>
        <w:t>. It is for good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reasons that doors swing open and closed. The principles of integrity and monogamy depend upon it.</w:t>
      </w:r>
    </w:p>
    <w:p w14:paraId="14EB04CA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103A1F4" w14:textId="53017B16" w:rsidR="00222D9B" w:rsidRPr="00222D9B" w:rsidRDefault="00222D9B" w:rsidP="00F11ACD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lastRenderedPageBreak/>
        <w:t>Few of us would walk into a stranger’s house, head for the refrigerator and help ourselves to a midday snack. Still fewer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would demand to be served that snack by the head of the household. The practice and expectation of “open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communion” is a very modern phenomenon without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precedence throughout most of Church history. It is founded upon a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new ecclesiology unknown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to the great Fathers and Saints of the Church. It reflects a loss of the mindset that faithfully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preserved the Christian tradition that many of us cherish. And it places us in danger; danger of an imaginary church, an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 xml:space="preserve">imaginary faith, and an imaginary Christ that will </w:t>
      </w:r>
      <w:proofErr w:type="spellStart"/>
      <w:r w:rsidRPr="00222D9B">
        <w:rPr>
          <w:rFonts w:cstheme="minorHAnsi"/>
          <w:color w:val="000000" w:themeColor="text1"/>
        </w:rPr>
        <w:t>some day</w:t>
      </w:r>
      <w:proofErr w:type="spellEnd"/>
      <w:r w:rsidRPr="00222D9B">
        <w:rPr>
          <w:rFonts w:cstheme="minorHAnsi"/>
          <w:color w:val="000000" w:themeColor="text1"/>
        </w:rPr>
        <w:t xml:space="preserve"> disappear from our imaginations altogether.</w:t>
      </w:r>
    </w:p>
    <w:p w14:paraId="5A5FE886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5A8282A" w14:textId="178AAE1F" w:rsidR="00222D9B" w:rsidRPr="00222D9B" w:rsidRDefault="00222D9B" w:rsidP="00F11ACD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It is tragic that Christendom is rife with real divisions. Yet by denying this reality we deny ourselves the opportunity and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the possibility of the pursuit of truth and conviction. We become the man who never actually buys the cow because he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gets the milk for free.</w:t>
      </w:r>
    </w:p>
    <w:p w14:paraId="36145193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73AA7F2" w14:textId="37B5CE1A" w:rsidR="00222D9B" w:rsidRPr="00222D9B" w:rsidRDefault="00222D9B" w:rsidP="00F11ACD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Holy Communion has never been free. The Eucharist, and real communion, comes with the price of monogamy, of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standing for and within a tangible faith community and tradition.</w:t>
      </w:r>
    </w:p>
    <w:p w14:paraId="070B47AB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713665A" w14:textId="643710FB" w:rsidR="00222D9B" w:rsidRPr="00222D9B" w:rsidRDefault="00222D9B" w:rsidP="00F11ACD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In Mere Christianity, which C. S. Lewis wrote only to bring skeptics and seekers to the doorstep of Christian faith, he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leaves the reader standing in the hall “out of which doors open into several rooms.” In his analogy the “rooms” are the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existing church communions. He makes it clear to the reader that he must eventually choose a room, for the hall (a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belief in the basic Christian principles) is not “an alternative to the creeds of the existing communions.”</w:t>
      </w:r>
      <w:r w:rsidR="00C87AD5">
        <w:rPr>
          <w:rStyle w:val="FootnoteReference"/>
          <w:rFonts w:cstheme="minorHAnsi"/>
          <w:color w:val="000000" w:themeColor="text1"/>
        </w:rPr>
        <w:footnoteReference w:id="12"/>
      </w:r>
      <w:r w:rsidRPr="00222D9B">
        <w:rPr>
          <w:rFonts w:cstheme="minorHAnsi"/>
          <w:color w:val="000000" w:themeColor="text1"/>
        </w:rPr>
        <w:t xml:space="preserve"> Lewis’ point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is that Christians are in the business of monogamy. There is no generic “Christianity,” there never has been. There is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only the practice of Christianity with a church body. And there is no church communion called “Mere Christianity.” There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are church bodies with real histories, real dogmas (whether consciously recognized or not), and real tradition. As Lewis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conveys, we cannot “play church” in the hallway imagining we are really in one of the rooms.</w:t>
      </w:r>
    </w:p>
    <w:p w14:paraId="7B9F3126" w14:textId="77777777" w:rsidR="00E15041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6EAD771" w14:textId="54263CDB" w:rsidR="00222D9B" w:rsidRPr="00222D9B" w:rsidRDefault="00222D9B" w:rsidP="00F11ACD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222D9B">
        <w:rPr>
          <w:rFonts w:cstheme="minorHAnsi"/>
          <w:color w:val="000000" w:themeColor="text1"/>
        </w:rPr>
        <w:t>We must seek, ask, knock, and prayerfully make a choice of what tradition we can marry in good faith. And our decision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must be made on conviction of truth and authenticity, not on convenience, emotion, or even personal tastes. As Lewis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put it: “…you must be asking which door is the true one; not which pleases you best by its paint and paneling.”</w:t>
      </w:r>
      <w:r w:rsidR="00C87AD5">
        <w:rPr>
          <w:rStyle w:val="FootnoteReference"/>
          <w:rFonts w:cstheme="minorHAnsi"/>
          <w:color w:val="000000" w:themeColor="text1"/>
        </w:rPr>
        <w:footnoteReference w:id="13"/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Without this, my communion is ultimately with “me, myself, and I,” not with the historical Christ, the</w:t>
      </w:r>
      <w:r w:rsidR="00F11ACD">
        <w:rPr>
          <w:rFonts w:cstheme="minorHAnsi"/>
          <w:color w:val="000000" w:themeColor="text1"/>
        </w:rPr>
        <w:t xml:space="preserve"> </w:t>
      </w:r>
      <w:r w:rsidRPr="00222D9B">
        <w:rPr>
          <w:rFonts w:cstheme="minorHAnsi"/>
          <w:color w:val="000000" w:themeColor="text1"/>
        </w:rPr>
        <w:t>apostles, and saints.</w:t>
      </w:r>
    </w:p>
    <w:p w14:paraId="61484501" w14:textId="77777777" w:rsidR="00E15041" w:rsidRPr="00222D9B" w:rsidRDefault="00E15041" w:rsidP="00222D9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sectPr w:rsidR="00E15041" w:rsidRPr="0022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69A3" w14:textId="77777777" w:rsidR="00EE4586" w:rsidRDefault="00EE4586" w:rsidP="00222D9B">
      <w:r>
        <w:separator/>
      </w:r>
    </w:p>
  </w:endnote>
  <w:endnote w:type="continuationSeparator" w:id="0">
    <w:p w14:paraId="0D3A24A3" w14:textId="77777777" w:rsidR="00EE4586" w:rsidRDefault="00EE4586" w:rsidP="0022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E9C6" w14:textId="77777777" w:rsidR="00EE4586" w:rsidRDefault="00EE4586" w:rsidP="00222D9B">
      <w:r>
        <w:separator/>
      </w:r>
    </w:p>
  </w:footnote>
  <w:footnote w:type="continuationSeparator" w:id="0">
    <w:p w14:paraId="1BA61D11" w14:textId="77777777" w:rsidR="00EE4586" w:rsidRDefault="00EE4586" w:rsidP="00222D9B">
      <w:r>
        <w:continuationSeparator/>
      </w:r>
    </w:p>
  </w:footnote>
  <w:footnote w:id="1">
    <w:p w14:paraId="72E1F78A" w14:textId="77777777" w:rsidR="00C87AD5" w:rsidRPr="00222D9B" w:rsidRDefault="00C87AD5" w:rsidP="00C87AD5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22D9B">
        <w:rPr>
          <w:rFonts w:cstheme="minorHAnsi"/>
          <w:color w:val="000000"/>
          <w:sz w:val="20"/>
          <w:szCs w:val="20"/>
        </w:rPr>
        <w:t>orthodoxinfo.com/general/monogamous-communion-a-defense-of-closed-communion.aspx</w:t>
      </w:r>
    </w:p>
    <w:p w14:paraId="68B28C1B" w14:textId="61E2594C" w:rsidR="00C87AD5" w:rsidRDefault="00C87AD5">
      <w:pPr>
        <w:pStyle w:val="FootnoteText"/>
      </w:pPr>
    </w:p>
  </w:footnote>
  <w:footnote w:id="2">
    <w:p w14:paraId="3B9D4D6B" w14:textId="77777777" w:rsidR="00C87AD5" w:rsidRPr="00C87AD5" w:rsidRDefault="00C87AD5" w:rsidP="00C87AD5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87AD5">
        <w:rPr>
          <w:rFonts w:cstheme="minorHAnsi"/>
          <w:color w:val="000000" w:themeColor="text1"/>
          <w:sz w:val="20"/>
          <w:szCs w:val="20"/>
        </w:rPr>
        <w:t xml:space="preserve">Fr. Michael </w:t>
      </w:r>
      <w:proofErr w:type="spellStart"/>
      <w:r w:rsidRPr="00C87AD5">
        <w:rPr>
          <w:rFonts w:cstheme="minorHAnsi"/>
          <w:color w:val="000000" w:themeColor="text1"/>
          <w:sz w:val="20"/>
          <w:szCs w:val="20"/>
        </w:rPr>
        <w:t>Shanbour</w:t>
      </w:r>
      <w:proofErr w:type="spellEnd"/>
      <w:r w:rsidRPr="00C87AD5">
        <w:rPr>
          <w:rFonts w:cstheme="minorHAnsi"/>
          <w:color w:val="000000" w:themeColor="text1"/>
          <w:sz w:val="20"/>
          <w:szCs w:val="20"/>
        </w:rPr>
        <w:t xml:space="preserve"> is the pastor of the Three Hierarchs Church in Wenatchee, VA. Posted 5/12/2015.</w:t>
      </w:r>
    </w:p>
    <w:p w14:paraId="1CAFE89A" w14:textId="77777777" w:rsidR="00C87AD5" w:rsidRPr="00222D9B" w:rsidRDefault="00C87AD5" w:rsidP="00C87AD5">
      <w:pPr>
        <w:rPr>
          <w:rFonts w:cstheme="minorHAnsi"/>
          <w:color w:val="000000" w:themeColor="text1"/>
        </w:rPr>
      </w:pPr>
    </w:p>
    <w:p w14:paraId="01EEE1F3" w14:textId="237B108C" w:rsidR="00C87AD5" w:rsidRDefault="00C87AD5">
      <w:pPr>
        <w:pStyle w:val="FootnoteText"/>
      </w:pPr>
    </w:p>
  </w:footnote>
  <w:footnote w:id="3">
    <w:p w14:paraId="4429B3AC" w14:textId="08F7B8A6" w:rsidR="00F11ACD" w:rsidRPr="00C87AD5" w:rsidRDefault="00F11A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7AD5">
        <w:rPr>
          <w:rFonts w:cstheme="minorHAnsi"/>
          <w:color w:val="000000" w:themeColor="text1"/>
        </w:rPr>
        <w:t>These two instances of the word “the” in italics are omitted in most English translations, yet they are important because they indicate a specific set liturgical practice.</w:t>
      </w:r>
    </w:p>
  </w:footnote>
  <w:footnote w:id="4">
    <w:p w14:paraId="295145C1" w14:textId="77777777" w:rsidR="00C87AD5" w:rsidRPr="00C87AD5" w:rsidRDefault="00C87AD5" w:rsidP="00C87AD5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87AD5">
        <w:rPr>
          <w:rFonts w:cstheme="minorHAnsi"/>
          <w:color w:val="000000" w:themeColor="text1"/>
          <w:sz w:val="20"/>
          <w:szCs w:val="20"/>
        </w:rPr>
        <w:t>Communion: A Family Affair: Why the Orthodox Church Practices Closed Communion, A. James Bernstein, Conciliar Press, 1999, p. 2-3.</w:t>
      </w:r>
    </w:p>
    <w:p w14:paraId="4D8E4FA3" w14:textId="2DEDCD23" w:rsidR="00C87AD5" w:rsidRDefault="00C87AD5">
      <w:pPr>
        <w:pStyle w:val="FootnoteText"/>
      </w:pPr>
    </w:p>
  </w:footnote>
  <w:footnote w:id="5">
    <w:p w14:paraId="0461DD0A" w14:textId="570AF64D" w:rsidR="00C87AD5" w:rsidRPr="00C87AD5" w:rsidRDefault="00C87AD5" w:rsidP="00C87AD5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87AD5">
        <w:rPr>
          <w:rFonts w:cstheme="minorHAnsi"/>
          <w:color w:val="000000" w:themeColor="text1"/>
          <w:sz w:val="20"/>
          <w:szCs w:val="20"/>
        </w:rPr>
        <w:t xml:space="preserve">The Puritan, John Bunyan (17th c.), has been </w:t>
      </w:r>
      <w:proofErr w:type="spellStart"/>
      <w:r w:rsidRPr="00C87AD5">
        <w:rPr>
          <w:rFonts w:cstheme="minorHAnsi"/>
          <w:color w:val="000000" w:themeColor="text1"/>
          <w:sz w:val="20"/>
          <w:szCs w:val="20"/>
        </w:rPr>
        <w:t>sited</w:t>
      </w:r>
      <w:proofErr w:type="spellEnd"/>
      <w:r w:rsidRPr="00C87AD5">
        <w:rPr>
          <w:rFonts w:cstheme="minorHAnsi"/>
          <w:color w:val="000000" w:themeColor="text1"/>
          <w:sz w:val="20"/>
          <w:szCs w:val="20"/>
        </w:rPr>
        <w:t xml:space="preserve"> as one of the first promoters of a form of open communion. Even he, however, restricted the practice to those he considered to be “visible saints.” In his own words: “I only exclude him that is not a visible saint. Now he that is visibly or openly profane, cannot be then a visible saint; for he that is a visible saint must profess faith, and repentance, and consequently holiness of life: and with </w:t>
      </w:r>
      <w:proofErr w:type="gramStart"/>
      <w:r w:rsidRPr="00C87AD5">
        <w:rPr>
          <w:rFonts w:cstheme="minorHAnsi"/>
          <w:color w:val="000000" w:themeColor="text1"/>
          <w:sz w:val="20"/>
          <w:szCs w:val="20"/>
        </w:rPr>
        <w:t>none</w:t>
      </w:r>
      <w:proofErr w:type="gramEnd"/>
      <w:r w:rsidRPr="00C87AD5">
        <w:rPr>
          <w:rFonts w:cstheme="minorHAnsi"/>
          <w:color w:val="000000" w:themeColor="text1"/>
          <w:sz w:val="20"/>
          <w:szCs w:val="20"/>
        </w:rPr>
        <w:t xml:space="preserve"> else dare I communicate.” From</w:t>
      </w:r>
      <w:r w:rsidRPr="00C87AD5"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1" w:history="1">
        <w:r w:rsidRPr="00C87AD5">
          <w:rPr>
            <w:rStyle w:val="Hyperlink"/>
            <w:rFonts w:cstheme="minorHAnsi"/>
            <w:sz w:val="20"/>
            <w:szCs w:val="20"/>
          </w:rPr>
          <w:t>http://biblehub.com/library/bunyan/the_works_of_john_bunyan_volumes_1-3/john_bunyan_on_the_terms.htm/</w:t>
        </w:r>
      </w:hyperlink>
    </w:p>
    <w:p w14:paraId="41125CDF" w14:textId="705B36ED" w:rsidR="00C87AD5" w:rsidRPr="00C87AD5" w:rsidRDefault="00C87AD5">
      <w:pPr>
        <w:pStyle w:val="FootnoteText"/>
      </w:pPr>
    </w:p>
  </w:footnote>
  <w:footnote w:id="6">
    <w:p w14:paraId="6FD59D97" w14:textId="77777777" w:rsidR="00C87AD5" w:rsidRPr="00C87AD5" w:rsidRDefault="00C87AD5" w:rsidP="00C87AD5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87AD5">
        <w:rPr>
          <w:rFonts w:cstheme="minorHAnsi"/>
          <w:color w:val="000000" w:themeColor="text1"/>
          <w:sz w:val="20"/>
          <w:szCs w:val="20"/>
        </w:rPr>
        <w:t>John Calvin, “Letter on Various Subjects” in the book Calvin’s Ecclesiastical Advice. From:</w:t>
      </w:r>
    </w:p>
    <w:p w14:paraId="710B9F6A" w14:textId="77777777" w:rsidR="00C87AD5" w:rsidRPr="00C87AD5" w:rsidRDefault="00C87AD5" w:rsidP="00C87AD5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hyperlink r:id="rId2" w:history="1">
        <w:r w:rsidRPr="00C87AD5">
          <w:rPr>
            <w:rStyle w:val="Hyperlink"/>
            <w:rFonts w:cstheme="minorHAnsi"/>
            <w:sz w:val="20"/>
            <w:szCs w:val="20"/>
          </w:rPr>
          <w:t>http://www.puritandownloads.com/swrb/categories/Lord%27s-Supper-%28Communion%29/</w:t>
        </w:r>
      </w:hyperlink>
      <w:r w:rsidRPr="00C87AD5">
        <w:rPr>
          <w:rFonts w:cstheme="minorHAnsi"/>
          <w:color w:val="000000" w:themeColor="text1"/>
          <w:sz w:val="20"/>
          <w:szCs w:val="20"/>
        </w:rPr>
        <w:t>).</w:t>
      </w:r>
    </w:p>
    <w:p w14:paraId="01C2344B" w14:textId="65EFA58F" w:rsidR="00C87AD5" w:rsidRPr="00C87AD5" w:rsidRDefault="00C87AD5">
      <w:pPr>
        <w:pStyle w:val="FootnoteText"/>
      </w:pPr>
    </w:p>
  </w:footnote>
  <w:footnote w:id="7">
    <w:p w14:paraId="040C354E" w14:textId="77777777" w:rsidR="00C87AD5" w:rsidRPr="00C87AD5" w:rsidRDefault="00C87AD5" w:rsidP="00C87AD5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87AD5">
        <w:rPr>
          <w:rFonts w:cstheme="minorHAnsi"/>
          <w:color w:val="000000" w:themeColor="text1"/>
          <w:sz w:val="20"/>
          <w:szCs w:val="20"/>
        </w:rPr>
        <w:t>That These Words of Christ, ‘This is My Body’ Still Stand Firm Against the Fanatics, 1527, in Luther's Works, Word and Sacrament III, 1961, Fortress Press, volume 37, p. 54.</w:t>
      </w:r>
    </w:p>
    <w:p w14:paraId="0243B1A5" w14:textId="6365B66B" w:rsidR="00C87AD5" w:rsidRPr="00C87AD5" w:rsidRDefault="00C87AD5">
      <w:pPr>
        <w:pStyle w:val="FootnoteText"/>
      </w:pPr>
    </w:p>
  </w:footnote>
  <w:footnote w:id="8">
    <w:p w14:paraId="6A47FBB9" w14:textId="77777777" w:rsidR="00C87AD5" w:rsidRDefault="00C87AD5" w:rsidP="00C87AD5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Style w:val="FootnoteReference"/>
        </w:rPr>
        <w:footnoteRef/>
      </w:r>
      <w:r>
        <w:t xml:space="preserve"> </w:t>
      </w:r>
      <w:r w:rsidRPr="00C87AD5">
        <w:rPr>
          <w:rFonts w:cstheme="minorHAnsi"/>
          <w:color w:val="000000" w:themeColor="text1"/>
          <w:sz w:val="20"/>
          <w:szCs w:val="20"/>
        </w:rPr>
        <w:t>To the Ephesians, 20:2, p. 84.</w:t>
      </w:r>
    </w:p>
    <w:p w14:paraId="246DC856" w14:textId="6690E0FD" w:rsidR="00C87AD5" w:rsidRDefault="00C87AD5">
      <w:pPr>
        <w:pStyle w:val="FootnoteText"/>
      </w:pPr>
    </w:p>
  </w:footnote>
  <w:footnote w:id="9">
    <w:p w14:paraId="5F2ADD4B" w14:textId="758F4C5F" w:rsidR="00C87AD5" w:rsidRPr="00C87AD5" w:rsidRDefault="00C87A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7AD5">
        <w:rPr>
          <w:rFonts w:cstheme="minorHAnsi"/>
          <w:color w:val="000000" w:themeColor="text1"/>
        </w:rPr>
        <w:t xml:space="preserve">The same is true </w:t>
      </w:r>
      <w:proofErr w:type="gramStart"/>
      <w:r w:rsidRPr="00C87AD5">
        <w:rPr>
          <w:rFonts w:cstheme="minorHAnsi"/>
          <w:color w:val="000000" w:themeColor="text1"/>
        </w:rPr>
        <w:t>with regard to</w:t>
      </w:r>
      <w:proofErr w:type="gramEnd"/>
      <w:r w:rsidRPr="00C87AD5">
        <w:rPr>
          <w:rFonts w:cstheme="minorHAnsi"/>
          <w:color w:val="000000" w:themeColor="text1"/>
        </w:rPr>
        <w:t xml:space="preserve"> the sacrament of baptism.</w:t>
      </w:r>
    </w:p>
  </w:footnote>
  <w:footnote w:id="10">
    <w:p w14:paraId="289BCDD5" w14:textId="77777777" w:rsidR="00C87AD5" w:rsidRPr="00C87AD5" w:rsidRDefault="00C87AD5" w:rsidP="00C87AD5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87AD5">
        <w:rPr>
          <w:rFonts w:cstheme="minorHAnsi"/>
          <w:color w:val="000000" w:themeColor="text1"/>
          <w:sz w:val="20"/>
          <w:szCs w:val="20"/>
        </w:rPr>
        <w:t>In Greek “tradition” (paradosis) is what has been passed down, delivered or that which has been received and preserved.</w:t>
      </w:r>
    </w:p>
    <w:p w14:paraId="3A857018" w14:textId="7C343BE4" w:rsidR="00C87AD5" w:rsidRDefault="00C87AD5">
      <w:pPr>
        <w:pStyle w:val="FootnoteText"/>
      </w:pPr>
    </w:p>
  </w:footnote>
  <w:footnote w:id="11">
    <w:p w14:paraId="23A65DC8" w14:textId="77777777" w:rsidR="00C87AD5" w:rsidRPr="00C87AD5" w:rsidRDefault="00C87AD5" w:rsidP="00C87AD5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87AD5">
        <w:rPr>
          <w:rFonts w:cstheme="minorHAnsi"/>
          <w:color w:val="000000" w:themeColor="text1"/>
          <w:sz w:val="20"/>
          <w:szCs w:val="20"/>
        </w:rPr>
        <w:t>Against Heresies 3:3 [A.D. 189].</w:t>
      </w:r>
    </w:p>
    <w:p w14:paraId="1580A083" w14:textId="406879ED" w:rsidR="00C87AD5" w:rsidRDefault="00C87AD5">
      <w:pPr>
        <w:pStyle w:val="FootnoteText"/>
      </w:pPr>
    </w:p>
  </w:footnote>
  <w:footnote w:id="12">
    <w:p w14:paraId="71F7BB49" w14:textId="77777777" w:rsidR="00C87AD5" w:rsidRPr="00C87AD5" w:rsidRDefault="00C87AD5" w:rsidP="00C87AD5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87AD5">
        <w:rPr>
          <w:rFonts w:cstheme="minorHAnsi"/>
          <w:color w:val="000000" w:themeColor="text1"/>
          <w:sz w:val="20"/>
          <w:szCs w:val="20"/>
        </w:rPr>
        <w:t xml:space="preserve">Mere Christianity, Preface pages xv-xvi, Harper San Francisco, Revised and Enlarged Edition, March 3, 2009. Here is the full quote: “I hope no reader will suppose that ‘mere’ Christianity is here put forward as an alternative to the creeds of the existing communions—as if a man could adopt it in preference to Congregationalism or Greek Orthodoxy or anything else. It is more like a hall out of which doors open into several rooms. If I can bring anyone into that </w:t>
      </w:r>
      <w:proofErr w:type="gramStart"/>
      <w:r w:rsidRPr="00C87AD5">
        <w:rPr>
          <w:rFonts w:cstheme="minorHAnsi"/>
          <w:color w:val="000000" w:themeColor="text1"/>
          <w:sz w:val="20"/>
          <w:szCs w:val="20"/>
        </w:rPr>
        <w:t>hall</w:t>
      </w:r>
      <w:proofErr w:type="gramEnd"/>
      <w:r w:rsidRPr="00C87AD5">
        <w:rPr>
          <w:rFonts w:cstheme="minorHAnsi"/>
          <w:color w:val="000000" w:themeColor="text1"/>
          <w:sz w:val="20"/>
          <w:szCs w:val="20"/>
        </w:rPr>
        <w:t xml:space="preserve"> I shall have done what I attempted. But it is in the rooms, not in the hall, that there are fires and chairs and meals. The hall is a place to wait in, a place from which to try the various doors, not a place to live in. For that </w:t>
      </w:r>
      <w:proofErr w:type="gramStart"/>
      <w:r w:rsidRPr="00C87AD5">
        <w:rPr>
          <w:rFonts w:cstheme="minorHAnsi"/>
          <w:color w:val="000000" w:themeColor="text1"/>
          <w:sz w:val="20"/>
          <w:szCs w:val="20"/>
        </w:rPr>
        <w:t>purpose</w:t>
      </w:r>
      <w:proofErr w:type="gramEnd"/>
      <w:r w:rsidRPr="00C87AD5">
        <w:rPr>
          <w:rFonts w:cstheme="minorHAnsi"/>
          <w:color w:val="000000" w:themeColor="text1"/>
          <w:sz w:val="20"/>
          <w:szCs w:val="20"/>
        </w:rPr>
        <w:t xml:space="preserve"> the worst of the rooms (whichever that may be) is, I think, preferable.”</w:t>
      </w:r>
    </w:p>
    <w:p w14:paraId="2F934BAB" w14:textId="47D8DD79" w:rsidR="00C87AD5" w:rsidRDefault="00C87AD5">
      <w:pPr>
        <w:pStyle w:val="FootnoteText"/>
      </w:pPr>
    </w:p>
  </w:footnote>
  <w:footnote w:id="13">
    <w:p w14:paraId="59F975E6" w14:textId="6C6FFC89" w:rsidR="00C87AD5" w:rsidRDefault="00C87A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7AD5">
        <w:rPr>
          <w:rFonts w:cstheme="minorHAnsi"/>
          <w:color w:val="000000" w:themeColor="text1"/>
        </w:rPr>
        <w:t>Ibid, from the Preface.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9B"/>
    <w:rsid w:val="00096407"/>
    <w:rsid w:val="00222D9B"/>
    <w:rsid w:val="00762BC9"/>
    <w:rsid w:val="00957446"/>
    <w:rsid w:val="00990BD7"/>
    <w:rsid w:val="00C06C75"/>
    <w:rsid w:val="00C87AD5"/>
    <w:rsid w:val="00E15041"/>
    <w:rsid w:val="00EE4586"/>
    <w:rsid w:val="00F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4B185"/>
  <w15:chartTrackingRefBased/>
  <w15:docId w15:val="{B57C63A0-C7C2-C34B-90F8-3D725C8C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2D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D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D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5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0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ritandownloads.com/swrb/categories/Lord%27s-Supper-%28Communion%29/" TargetMode="External"/><Relationship Id="rId1" Type="http://schemas.openxmlformats.org/officeDocument/2006/relationships/hyperlink" Target="http://biblehub.com/library/bunyan/the_works_of_john_bunyan_volumes_1-3/john_bunyan_on_the_terms.ht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Zmuda,Henry</dc:creator>
  <cp:keywords/>
  <dc:description/>
  <cp:lastModifiedBy>Zmuda,Henry</cp:lastModifiedBy>
  <cp:revision>4</cp:revision>
  <dcterms:created xsi:type="dcterms:W3CDTF">2021-09-27T17:17:00Z</dcterms:created>
  <dcterms:modified xsi:type="dcterms:W3CDTF">2021-09-27T18:48:00Z</dcterms:modified>
</cp:coreProperties>
</file>